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4514"/>
        <w:tblLayout w:type="fixed"/>
        <w:tblLook w:firstRow="1" w:lastRow="0" w:firstColumn="0" w:lastColumn="0" w:noHBand="0" w:noVBand="0" w:val="0020"/>
      </w:tblPr>
      <w:tblGrid>
        <w:gridCol w:w="1980"/>
        <w:gridCol w:w="5170"/>
      </w:tblGrid>
      <w:tr>
        <w:trPr>
          <w:tblHeader w:val="on"/>
        </w:trPr>
        <w:tc>
          <w:tcPr>
            <w:gridSpan w:val="2"/>
          </w:tcPr>
          <w:p>
            <w:pPr>
              <w:pStyle w:val="Compact"/>
              <w:jc w:val="left"/>
            </w:pPr>
            <w:r>
              <w:rPr>
                <w:b/>
                <w:bCs/>
              </w:rPr>
              <w:t xml:space="preserve">oneM2M</w:t>
            </w:r>
            <w:r>
              <w:t xml:space="preserve"> </w:t>
            </w:r>
            <w:r>
              <w:rPr>
                <w:b/>
                <w:bCs/>
              </w:rPr>
              <w:t xml:space="preserve">Technical</w:t>
            </w:r>
            <w:r>
              <w:br/>
            </w:r>
            <w:r>
              <w:rPr>
                <w:b/>
                <w:bCs/>
              </w:rPr>
              <w:t xml:space="preserve">Specification</w:t>
            </w:r>
          </w:p>
        </w:tc>
      </w:tr>
      <w:tr>
        <w:tc>
          <w:tcPr/>
          <w:p>
            <w:pPr>
              <w:pStyle w:val="Compact"/>
              <w:jc w:val="left"/>
            </w:pPr>
            <w:r>
              <w:t xml:space="preserve">Document Number</w:t>
            </w:r>
          </w:p>
        </w:tc>
        <w:tc>
          <w:tcPr/>
          <w:p>
            <w:pPr>
              <w:pStyle w:val="Compact"/>
              <w:jc w:val="left"/>
            </w:pPr>
            <w:r>
              <w:t xml:space="preserve">oneM2M-TS-0019-V-4.2.0</w:t>
            </w:r>
          </w:p>
        </w:tc>
      </w:tr>
      <w:tr>
        <w:tc>
          <w:tcPr/>
          <w:p>
            <w:pPr>
              <w:pStyle w:val="Compact"/>
              <w:jc w:val="left"/>
            </w:pPr>
            <w:r>
              <w:t xml:space="preserve">Document Name:</w:t>
            </w:r>
          </w:p>
        </w:tc>
        <w:tc>
          <w:tcPr/>
          <w:p>
            <w:pPr>
              <w:pStyle w:val="Compact"/>
              <w:jc w:val="left"/>
            </w:pPr>
            <w:r>
              <w:t xml:space="preserve">Abstract Test Suite and Implementation</w:t>
            </w:r>
            <w:r>
              <w:t xml:space="preserve"> </w:t>
            </w:r>
            <w:r>
              <w:t xml:space="preserve">eXtra Information for Test</w:t>
            </w:r>
          </w:p>
        </w:tc>
      </w:tr>
      <w:tr>
        <w:tc>
          <w:tcPr/>
          <w:p>
            <w:pPr>
              <w:pStyle w:val="Compact"/>
              <w:jc w:val="left"/>
            </w:pPr>
            <w:r>
              <w:t xml:space="preserve">Date:</w:t>
            </w:r>
          </w:p>
        </w:tc>
        <w:tc>
          <w:tcPr/>
          <w:p>
            <w:pPr>
              <w:pStyle w:val="Compact"/>
              <w:jc w:val="left"/>
            </w:pPr>
            <w:r>
              <w:t xml:space="preserve">2024 March 1</w:t>
            </w:r>
          </w:p>
        </w:tc>
      </w:tr>
      <w:tr>
        <w:tc>
          <w:tcPr/>
          <w:p>
            <w:pPr>
              <w:pStyle w:val="Compact"/>
              <w:jc w:val="left"/>
            </w:pPr>
            <w:r>
              <w:t xml:space="preserve">Abstract:</w:t>
            </w:r>
          </w:p>
        </w:tc>
        <w:tc>
          <w:tcPr/>
          <w:p>
            <w:pPr>
              <w:jc w:val="left"/>
            </w:pPr>
            <w:r>
              <w:t xml:space="preserve">Abstract Test Suite and Implementation eXtra</w:t>
            </w:r>
            <w:r>
              <w:t xml:space="preserve"> </w:t>
            </w:r>
            <w:r>
              <w:t xml:space="preserve">Information for Test consists of:</w:t>
            </w:r>
          </w:p>
          <w:p>
            <w:pPr>
              <w:pStyle w:val="Compact"/>
              <w:numPr>
                <w:ilvl w:val="0"/>
                <w:numId w:val="1001"/>
              </w:numPr>
              <w:jc w:val="left"/>
            </w:pPr>
            <w:r>
              <w:t xml:space="preserve">Definition of the Abstract Protocol Tester</w:t>
            </w:r>
            <w:r>
              <w:t xml:space="preserve"> </w:t>
            </w:r>
            <w:r>
              <w:t xml:space="preserve">(APT)</w:t>
            </w:r>
          </w:p>
          <w:p>
            <w:pPr>
              <w:pStyle w:val="Compact"/>
              <w:numPr>
                <w:ilvl w:val="0"/>
                <w:numId w:val="1001"/>
              </w:numPr>
              <w:jc w:val="left"/>
            </w:pPr>
            <w:r>
              <w:t xml:space="preserve">Definition of TTCN-3 test architecture</w:t>
            </w:r>
          </w:p>
          <w:p>
            <w:pPr>
              <w:pStyle w:val="Compact"/>
              <w:numPr>
                <w:ilvl w:val="0"/>
                <w:numId w:val="1001"/>
              </w:numPr>
              <w:jc w:val="left"/>
            </w:pPr>
            <w:r>
              <w:t xml:space="preserve">Development of TTCN-3 test suite, e.g.</w:t>
            </w:r>
            <w:r>
              <w:t xml:space="preserve"> </w:t>
            </w:r>
            <w:r>
              <w:t xml:space="preserve">naming conventions, code documentation, test</w:t>
            </w:r>
            <w:r>
              <w:t xml:space="preserve"> </w:t>
            </w:r>
            <w:r>
              <w:t xml:space="preserve">case structure.</w:t>
            </w:r>
          </w:p>
          <w:p>
            <w:pPr>
              <w:pStyle w:val="Compact"/>
              <w:numPr>
                <w:ilvl w:val="0"/>
                <w:numId w:val="1001"/>
              </w:numPr>
              <w:jc w:val="left"/>
            </w:pPr>
            <w:r>
              <w:t xml:space="preserve">IXIT proforma;</w:t>
            </w:r>
          </w:p>
        </w:tc>
      </w:tr>
      <w:tr>
        <w:tc>
          <w:tcPr>
            <w:gridSpan w:val="2"/>
          </w:tcPr>
          <w:p>
            <w:pPr>
              <w:pStyle w:val="Compact"/>
              <w:jc w:val="lef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2"/>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3"/>
        </w:numPr>
      </w:pPr>
      <w:r>
        <w:t xml:space="preserve">[1]</w:t>
      </w:r>
      <w:r>
        <w:t xml:space="preserve"> </w:t>
      </w:r>
      <w:r>
        <w:t xml:space="preserve">oneM2M TS-0001:</w:t>
      </w:r>
      <w:r>
        <w:t xml:space="preserve"> </w:t>
      </w:r>
      <w:r>
        <w:t xml:space="preserve">“Functional Architecture”</w:t>
      </w:r>
      <w:r>
        <w:t xml:space="preserve">.</w:t>
      </w:r>
    </w:p>
    <w:p>
      <w:pPr>
        <w:numPr>
          <w:ilvl w:val="0"/>
          <w:numId w:val="1003"/>
        </w:numPr>
      </w:pPr>
      <w:r>
        <w:t xml:space="preserve">[2]</w:t>
      </w:r>
      <w:r>
        <w:t xml:space="preserve"> </w:t>
      </w:r>
      <w:r>
        <w:t xml:space="preserve">oneM2M TS-0004:</w:t>
      </w:r>
      <w:r>
        <w:t xml:space="preserve"> </w:t>
      </w:r>
      <w:r>
        <w:t xml:space="preserve">“Service Layer Core Protocol”</w:t>
      </w:r>
      <w:r>
        <w:t xml:space="preserve">.</w:t>
      </w:r>
    </w:p>
    <w:p>
      <w:pPr>
        <w:numPr>
          <w:ilvl w:val="0"/>
          <w:numId w:val="1003"/>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3"/>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3"/>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3"/>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3"/>
        </w:numPr>
      </w:pPr>
      <w:r>
        <w:t xml:space="preserve">[7]</w:t>
      </w:r>
      <w:r>
        <w:t xml:space="preserve"> </w:t>
      </w:r>
      <w:r>
        <w:t xml:space="preserve">oneM2M TS-0018:</w:t>
      </w:r>
      <w:r>
        <w:t xml:space="preserve"> </w:t>
      </w:r>
      <w:r>
        <w:t xml:space="preserve">“Test Suite Structure and Test Purposes”</w:t>
      </w:r>
      <w:r>
        <w:t xml:space="preserve">.</w:t>
      </w:r>
    </w:p>
    <w:p>
      <w:pPr>
        <w:numPr>
          <w:ilvl w:val="0"/>
          <w:numId w:val="1003"/>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4"/>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4"/>
        </w:numPr>
      </w:pPr>
      <w:r>
        <w:t xml:space="preserve">[i.2]</w:t>
      </w:r>
      <w:r>
        <w:t xml:space="preserve"> </w:t>
      </w:r>
      <w:r>
        <w:t xml:space="preserve">oneM2M TS-0015:</w:t>
      </w:r>
      <w:r>
        <w:t xml:space="preserve"> </w:t>
      </w:r>
      <w:r>
        <w:t xml:space="preserve">“Testing Framework”</w:t>
      </w:r>
      <w:r>
        <w:t xml:space="preserve">.</w:t>
      </w:r>
    </w:p>
    <w:p>
      <w:pPr>
        <w:numPr>
          <w:ilvl w:val="0"/>
          <w:numId w:val="1004"/>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5"/>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5"/>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6"/>
        </w:numPr>
      </w:pPr>
      <w:r>
        <w:t xml:space="preserve">control the test event to be sent towards the IUT; and</w:t>
      </w:r>
    </w:p>
    <w:p>
      <w:pPr>
        <w:pStyle w:val="Compact"/>
        <w:numPr>
          <w:ilvl w:val="0"/>
          <w:numId w:val="1006"/>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7"/>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7"/>
        </w:numPr>
      </w:pPr>
      <w:r>
        <w:t xml:space="preserve">SA (System Adaptor) layer functionality is divided into two modules:</w:t>
      </w:r>
    </w:p>
    <w:p>
      <w:pPr>
        <w:pStyle w:val="Compact"/>
        <w:numPr>
          <w:ilvl w:val="1"/>
          <w:numId w:val="1008"/>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8"/>
        </w:numPr>
      </w:pPr>
      <w:r>
        <w:t xml:space="preserve">Upper Tester Transport module implements functions that enable triggering specific actions or behaviour on the IUT.</w:t>
      </w:r>
    </w:p>
    <w:p>
      <w:pPr>
        <w:numPr>
          <w:ilvl w:val="0"/>
          <w:numId w:val="1007"/>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9"/>
        </w:numPr>
      </w:pPr>
      <w:r>
        <w:t xml:space="preserve">The mcaPort and mcaPortIn</w:t>
      </w:r>
    </w:p>
    <w:p>
      <w:pPr>
        <w:pStyle w:val="Compact"/>
        <w:numPr>
          <w:ilvl w:val="0"/>
          <w:numId w:val="1009"/>
        </w:numPr>
      </w:pPr>
      <w:r>
        <w:t xml:space="preserve">The mccPort and mccPortIn</w:t>
      </w:r>
    </w:p>
    <w:p>
      <w:pPr>
        <w:pStyle w:val="Compact"/>
        <w:numPr>
          <w:ilvl w:val="0"/>
          <w:numId w:val="1009"/>
        </w:numPr>
      </w:pPr>
      <w:r>
        <w:t xml:space="preserve">The acPort</w:t>
      </w:r>
    </w:p>
    <w:p>
      <w:pPr>
        <w:pStyle w:val="Compact"/>
        <w:numPr>
          <w:ilvl w:val="0"/>
          <w:numId w:val="1009"/>
        </w:numPr>
      </w:pPr>
      <w:r>
        <w:t xml:space="preserve">The utPort</w:t>
      </w:r>
    </w:p>
    <w:p>
      <w:pPr>
        <w:pStyle w:val="Compact"/>
        <w:numPr>
          <w:ilvl w:val="0"/>
          <w:numId w:val="1009"/>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10"/>
        </w:numPr>
      </w:pPr>
      <w:r>
        <w:t xml:space="preserve">Request Primitives messages in accordance with oneM2M TS-0004</w:t>
      </w:r>
      <w:r>
        <w:t xml:space="preserve"> </w:t>
      </w:r>
      <w:r>
        <w:t xml:space="preserve">[2]</w:t>
      </w:r>
      <w:r>
        <w:t xml:space="preserve">.</w:t>
      </w:r>
    </w:p>
    <w:p>
      <w:pPr>
        <w:pStyle w:val="Compact"/>
        <w:numPr>
          <w:ilvl w:val="0"/>
          <w:numId w:val="1010"/>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1"/>
        </w:numPr>
      </w:pPr>
      <w:r>
        <w:t xml:space="preserve">The M2MRequestPrimitive - to send or receive oneM2M messages to/from the IUT. Depending on the IUT to be tested:</w:t>
      </w:r>
    </w:p>
    <w:p>
      <w:pPr>
        <w:pStyle w:val="Compact"/>
        <w:numPr>
          <w:ilvl w:val="1"/>
          <w:numId w:val="1012"/>
        </w:numPr>
      </w:pPr>
      <w:r>
        <w:t xml:space="preserve">If the IUT is an AE, these messages are either received or sent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1"/>
        </w:numPr>
      </w:pPr>
      <w:r>
        <w:t xml:space="preserve">The M2MResponsePrimitive - to send or receive oneM2M messages to/from the IUT. Depending on the IUT to be tested:</w:t>
      </w:r>
    </w:p>
    <w:p>
      <w:pPr>
        <w:pStyle w:val="Compact"/>
        <w:numPr>
          <w:ilvl w:val="1"/>
          <w:numId w:val="1013"/>
        </w:numPr>
      </w:pPr>
      <w:r>
        <w:t xml:space="preserve">If the IUT is an AE, these messages are either sent or received by the tester which is associated with the CSE role through the mcaPortIn or the mcaPort respectively.</w:t>
      </w:r>
    </w:p>
    <w:p>
      <w:pPr>
        <w:pStyle w:val="Compact"/>
        <w:numPr>
          <w:ilvl w:val="1"/>
          <w:numId w:val="1013"/>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4"/>
        </w:numPr>
      </w:pPr>
      <w:r>
        <w:t xml:space="preserve">Host: IP address of the IUT</w:t>
      </w:r>
    </w:p>
    <w:p>
      <w:pPr>
        <w:pStyle w:val="Compact"/>
        <w:numPr>
          <w:ilvl w:val="0"/>
          <w:numId w:val="1014"/>
        </w:numPr>
      </w:pPr>
      <w:r>
        <w:t xml:space="preserve">XML Namespace</w:t>
      </w:r>
    </w:p>
    <w:p>
      <w:pPr>
        <w:pStyle w:val="Compact"/>
        <w:numPr>
          <w:ilvl w:val="0"/>
          <w:numId w:val="1014"/>
        </w:numPr>
      </w:pPr>
      <w:r>
        <w:t xml:space="preserve">Protocol binding</w:t>
      </w:r>
    </w:p>
    <w:p>
      <w:pPr>
        <w:pStyle w:val="Compact"/>
        <w:numPr>
          <w:ilvl w:val="0"/>
          <w:numId w:val="1014"/>
        </w:numPr>
      </w:pPr>
      <w:r>
        <w:t xml:space="preserve">Serialization</w:t>
      </w:r>
    </w:p>
    <w:p>
      <w:pPr>
        <w:pStyle w:val="Compact"/>
        <w:numPr>
          <w:ilvl w:val="0"/>
          <w:numId w:val="1014"/>
        </w:numPr>
      </w:pPr>
      <w:r>
        <w:t xml:space="preserve">ForceFields: used to force invalid or empty values to certain attributes. This behaviour shall be implemented by the System Adaptor.</w:t>
      </w:r>
    </w:p>
    <w:p>
      <w:pPr>
        <w:pStyle w:val="FirstParagraph"/>
      </w:pPr>
      <w:r>
        <w:t xml:space="preserve">Adding a grid table for testing</w:t>
      </w:r>
    </w:p>
    <w:p>
      <w:pPr>
        <w:pStyle w:val="TableCaption"/>
      </w:pPr>
      <w:r>
        <w:t xml:space="preserve">Table 5.4.1-1: Mapping of TTCN-3 Primitives to oneM2M Service Primitives</w:t>
      </w:r>
    </w:p>
    <w:tbl>
      <w:tblPr>
        <w:tblStyle w:val="Table"/>
        <w:tblW w:type="pct" w:w="4236"/>
        <w:tblLayout w:type="fixed"/>
        <w:tblLook w:firstRow="1" w:lastRow="0" w:firstColumn="0" w:lastColumn="0" w:noHBand="0" w:noVBand="0" w:val="0020"/>
        <w:tblCaption w:val="Table 5.4.1-1: Mapping of TTCN-3 Primitives to oneM2M Service Primitives"/>
      </w:tblPr>
      <w:tblGrid>
        <w:gridCol w:w="2530"/>
        <w:gridCol w:w="2200"/>
        <w:gridCol w:w="1320"/>
        <w:gridCol w:w="66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bl>
    <w:p>
      <w:pPr>
        <w:pStyle w:val="BodyText"/>
      </w:pPr>
      <w:r>
        <w:t xml:space="preserve">Adding some equations:</w:t>
      </w:r>
    </w:p>
    <w:p>
      <w:pPr>
        <w:pStyle w:val="BodyText"/>
      </w:pPr>
      <m:oMath>
        <m:d>
          <m:dPr>
            <m:begChr m:val="["/>
            <m:endChr m:val="]"/>
            <m:sepChr m:val=""/>
            <m:grow/>
          </m:dPr>
          <m:e>
            <m:nary>
              <m:naryPr>
                <m:chr m:val="∫"/>
                <m:limLoc m:val="subSup"/>
                <m:subHide m:val="off"/>
                <m:supHide m:val="off"/>
              </m:naryPr>
              <m:sub>
                <m:r>
                  <m:rPr>
                    <m:sty m:val="p"/>
                  </m:rPr>
                  <m:t>−</m:t>
                </m:r>
                <m:r>
                  <m:t>i</m:t>
                </m:r>
                <m:r>
                  <m:t>n</m:t>
                </m:r>
                <m:r>
                  <m:t>f</m:t>
                </m:r>
                <m:r>
                  <m:t>t</m:t>
                </m:r>
                <m:r>
                  <m:t>y</m:t>
                </m:r>
              </m:sub>
              <m:sup>
                <m:r>
                  <m:rPr>
                    <m:sty m:val="p"/>
                  </m:rPr>
                  <m:t>∞</m:t>
                </m:r>
              </m:sup>
              <m:e>
                <m:r>
                  <m:t>f</m:t>
                </m:r>
              </m:e>
            </m:nary>
            <m:d>
              <m:dPr>
                <m:begChr m:val="("/>
                <m:endChr m:val=")"/>
                <m:sepChr m:val=""/>
                <m:grow/>
              </m:dPr>
              <m:e>
                <m:r>
                  <m:t>x</m:t>
                </m:r>
              </m:e>
            </m:d>
            <m:r>
              <m:t> </m:t>
            </m:r>
            <m:r>
              <m:t>d</m:t>
            </m:r>
            <m:r>
              <m:t>x</m:t>
            </m:r>
          </m:e>
        </m:d>
      </m:oMath>
    </w:p>
    <w:p>
      <w:pPr>
        <w:pStyle w:val="BodyText"/>
      </w:pPr>
      <m:oMath>
        <m:r>
          <m:rPr>
            <m:sty m:val="p"/>
          </m:rPr>
          <m:t>log</m:t>
        </m:r>
        <m:d>
          <m:dPr>
            <m:begChr m:val="("/>
            <m:endChr m:val=")"/>
            <m:sepChr m:val=""/>
            <m:grow/>
          </m:dPr>
          <m:e>
            <m:r>
              <m:t>x</m:t>
            </m:r>
          </m:e>
        </m:d>
      </m:oMath>
    </w:p>
    <w:p>
      <w:pPr>
        <w:pStyle w:val="BodyText"/>
      </w:pPr>
      <m:oMath>
        <m:sSub>
          <m:e>
            <m:r>
              <m:rPr>
                <m:sty m:val="p"/>
              </m:rPr>
              <m:t>lim</m:t>
            </m:r>
          </m:e>
          <m:sub>
            <m:r>
              <m:t>x</m:t>
            </m:r>
            <m:r>
              <m:rPr>
                <m:sty m:val="p"/>
              </m:rPr>
              <m:t>→</m:t>
            </m:r>
            <m:r>
              <m:rPr>
                <m:sty m:val="p"/>
              </m:rPr>
              <m:t>∞</m:t>
            </m:r>
          </m:sub>
        </m:sSub>
        <m:r>
          <m:t>f</m:t>
        </m:r>
        <m:d>
          <m:dPr>
            <m:begChr m:val="("/>
            <m:endChr m:val=")"/>
            <m:sepChr m:val=""/>
            <m:grow/>
          </m:dPr>
          <m:e>
            <m:r>
              <m:t>x</m:t>
            </m:r>
          </m:e>
        </m:d>
      </m:oMath>
    </w:p>
    <w:p>
      <w:pPr>
        <w:pStyle w:val="BodyText"/>
      </w:pPr>
      <m:oMath>
        <m:f>
          <m:fPr>
            <m:type m:val="bar"/>
          </m:fPr>
          <m:num>
            <m:r>
              <m:rPr>
                <m:sty m:val="p"/>
              </m:rPr>
              <m:t>∂</m:t>
            </m:r>
            <m:r>
              <m:t>f</m:t>
            </m:r>
          </m:num>
          <m:den>
            <m:r>
              <m:rPr>
                <m:sty m:val="p"/>
              </m:rPr>
              <m:t>∂</m:t>
            </m:r>
            <m:r>
              <m:t>x</m:t>
            </m:r>
          </m:den>
        </m:f>
      </m:oMath>
    </w:p>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5"/>
        </w:numPr>
      </w:pPr>
      <w:r>
        <w:t xml:space="preserve">Request Primitives messages in accordance with oneM2M TS-0004</w:t>
      </w:r>
      <w:r>
        <w:t xml:space="preserve"> </w:t>
      </w:r>
      <w:r>
        <w:t xml:space="preserve">[2]</w:t>
      </w:r>
      <w:r>
        <w:t xml:space="preserve">.</w:t>
      </w:r>
    </w:p>
    <w:p>
      <w:pPr>
        <w:pStyle w:val="Compact"/>
        <w:numPr>
          <w:ilvl w:val="0"/>
          <w:numId w:val="1015"/>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6"/>
        </w:numPr>
      </w:pPr>
      <w:r>
        <w:t xml:space="preserve">The T8Request - to send T8 request messages to/from the IUT according to 3GPP TS 29.122</w:t>
      </w:r>
      <w:r>
        <w:t xml:space="preserve"> </w:t>
      </w:r>
      <w:r>
        <w:t xml:space="preserve">[8]</w:t>
      </w:r>
      <w:r>
        <w:t xml:space="preserve">.</w:t>
      </w:r>
    </w:p>
    <w:p>
      <w:pPr>
        <w:pStyle w:val="Compact"/>
        <w:numPr>
          <w:ilvl w:val="0"/>
          <w:numId w:val="1017"/>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8"/>
        </w:numPr>
      </w:pPr>
      <w:r>
        <w:t xml:space="preserve">Request Primitives messages in accordance with oneM2M TS-0004</w:t>
      </w:r>
      <w:r>
        <w:t xml:space="preserve"> </w:t>
      </w:r>
      <w:r>
        <w:t xml:space="preserve">[2]</w:t>
      </w:r>
      <w:r>
        <w:t xml:space="preserve">.</w:t>
      </w:r>
    </w:p>
    <w:p>
      <w:pPr>
        <w:pStyle w:val="Compact"/>
        <w:numPr>
          <w:ilvl w:val="0"/>
          <w:numId w:val="1018"/>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9"/>
        </w:numPr>
      </w:pPr>
      <w:r>
        <w:t xml:space="preserve">TTCN-3 Test Component is able to configure the Test System and send standardized triggering commands to the SUT (Upper Tester Application).</w:t>
      </w:r>
    </w:p>
    <w:p>
      <w:pPr>
        <w:pStyle w:val="Compact"/>
        <w:numPr>
          <w:ilvl w:val="0"/>
          <w:numId w:val="1019"/>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20"/>
        </w:numPr>
      </w:pPr>
      <w:r>
        <w:t xml:space="preserve">The UtTrigger primitive is used to trigger upper layer events in IUT (i.e. sending oneM2M service primitives to Test System through Mca port).</w:t>
      </w:r>
    </w:p>
    <w:p>
      <w:pPr>
        <w:pStyle w:val="Compact"/>
        <w:numPr>
          <w:ilvl w:val="0"/>
          <w:numId w:val="1020"/>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1"/>
        </w:numPr>
      </w:pPr>
      <w:r>
        <w:t xml:space="preserve">UtTrigger primitive is represented in requestPrimitive serialized in JSON format.</w:t>
      </w:r>
    </w:p>
    <w:p>
      <w:pPr>
        <w:numPr>
          <w:ilvl w:val="0"/>
          <w:numId w:val="1021"/>
        </w:numPr>
      </w:pPr>
      <w:r>
        <w:t xml:space="preserve">UtTrigger primitive shall be interpreted as follows:</w:t>
      </w:r>
    </w:p>
    <w:p>
      <w:pPr>
        <w:pStyle w:val="Compact"/>
        <w:numPr>
          <w:ilvl w:val="1"/>
          <w:numId w:val="1022"/>
        </w:numPr>
      </w:pPr>
      <w:r>
        <w:t xml:space="preserve">Any attribute/parameter containing a value shall be present and equal in the triggered request primitive.</w:t>
      </w:r>
    </w:p>
    <w:p>
      <w:pPr>
        <w:pStyle w:val="Compact"/>
        <w:numPr>
          <w:ilvl w:val="1"/>
          <w:numId w:val="1022"/>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2"/>
        </w:numPr>
      </w:pPr>
      <w:r>
        <w:t xml:space="preserve">Any other attribute/parameter shall comply with oneM2M TS-0004</w:t>
      </w:r>
      <w:r>
        <w:t xml:space="preserve"> </w:t>
      </w:r>
      <w:r>
        <w:t xml:space="preserve">[2]</w:t>
      </w:r>
      <w:r>
        <w:t xml:space="preserve">.</w:t>
      </w:r>
    </w:p>
    <w:p>
      <w:pPr>
        <w:numPr>
          <w:ilvl w:val="0"/>
          <w:numId w:val="1021"/>
        </w:numPr>
      </w:pPr>
      <w:r>
        <w:t xml:space="preserve">Parameters within UtTrigger are listed as following:</w:t>
      </w:r>
    </w:p>
    <w:p>
      <w:pPr>
        <w:pStyle w:val="Compact"/>
        <w:numPr>
          <w:ilvl w:val="1"/>
          <w:numId w:val="1023"/>
        </w:numPr>
      </w:pPr>
      <w:r>
        <w:t xml:space="preserve">operation: (mandatory) operation type that IUT is triggered to perform.</w:t>
      </w:r>
    </w:p>
    <w:p>
      <w:pPr>
        <w:pStyle w:val="Compact"/>
        <w:numPr>
          <w:ilvl w:val="1"/>
          <w:numId w:val="1023"/>
        </w:numPr>
      </w:pPr>
      <w:r>
        <w:t xml:space="preserve">resourceType: (optional) resource type of a target resource against which IUT is triggered to perform certain operation</w:t>
      </w:r>
    </w:p>
    <w:p>
      <w:pPr>
        <w:pStyle w:val="Compact"/>
        <w:numPr>
          <w:ilvl w:val="1"/>
          <w:numId w:val="1023"/>
        </w:numPr>
      </w:pPr>
      <w:r>
        <w:t xml:space="preserve">to: (mandatory) target resource against which IUT is triggered to perform certain operation.</w:t>
      </w:r>
    </w:p>
    <w:p>
      <w:pPr>
        <w:pStyle w:val="Compact"/>
        <w:numPr>
          <w:ilvl w:val="1"/>
          <w:numId w:val="1023"/>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4955"/>
        <w:tblLayout w:type="fixed"/>
        <w:tblLook w:firstRow="1" w:lastRow="0" w:firstColumn="0" w:lastColumn="0" w:noHBand="0" w:noVBand="0" w:val="0020"/>
        <w:tblCaption w:val="Table 5.4.4.2.2-3: Definition of ResponseStatusCode for UtTriggerAck primitive"/>
      </w:tblPr>
      <w:tblGrid>
        <w:gridCol w:w="2425"/>
        <w:gridCol w:w="1997"/>
        <w:gridCol w:w="3424"/>
      </w:tblGrid>
      <w:tr>
        <w:trPr>
          <w:tblHeader w:val="on"/>
        </w:trPr>
        <w:tc>
          <w:tcPr/>
          <w:p>
            <w:pPr>
              <w:pStyle w:val="Compact"/>
              <w:jc w:val="left"/>
            </w:pPr>
            <w:r>
              <w:t xml:space="preserve">Response Status Code Description</w:t>
            </w:r>
          </w:p>
        </w:tc>
        <w:tc>
          <w:tcPr/>
          <w:p>
            <w:pPr>
              <w:pStyle w:val="Compact"/>
              <w:jc w:val="left"/>
            </w:pPr>
            <w:r>
              <w:t xml:space="preserve">Response Status Code Value</w:t>
            </w:r>
          </w:p>
        </w:tc>
        <w:tc>
          <w:tcPr/>
          <w:p>
            <w:pPr>
              <w:pStyle w:val="Compact"/>
              <w:jc w:val="left"/>
            </w:pPr>
            <w:r>
              <w:t xml:space="preserve">Interpretation</w:t>
            </w:r>
          </w:p>
        </w:tc>
      </w:tr>
      <w:tr>
        <w:tc>
          <w:tcPr/>
          <w:p>
            <w:pPr>
              <w:pStyle w:val="Compact"/>
              <w:jc w:val="left"/>
            </w:pPr>
            <w:r>
              <w:t xml:space="preserve">OK</w:t>
            </w:r>
          </w:p>
        </w:tc>
        <w:tc>
          <w:tcPr/>
          <w:p>
            <w:pPr>
              <w:pStyle w:val="Compact"/>
              <w:jc w:val="left"/>
            </w:pPr>
            <w:r>
              <w:t xml:space="preserve">2000</w:t>
            </w:r>
          </w:p>
        </w:tc>
        <w:tc>
          <w:tcPr/>
          <w:p>
            <w:pPr>
              <w:pStyle w:val="Compact"/>
              <w:jc w:val="left"/>
            </w:pPr>
            <w:r>
              <w:t xml:space="preserve">The SUT receives successfully the triggering</w:t>
            </w:r>
            <w:r>
              <w:t xml:space="preserve"> </w:t>
            </w:r>
            <w:r>
              <w:t xml:space="preserve">message from Test System</w:t>
            </w:r>
          </w:p>
        </w:tc>
      </w:tr>
      <w:tr>
        <w:tc>
          <w:tcPr/>
          <w:p>
            <w:pPr>
              <w:pStyle w:val="Compact"/>
              <w:jc w:val="left"/>
            </w:pPr>
            <w:r>
              <w:t xml:space="preserve">BAD_REQUEST</w:t>
            </w:r>
          </w:p>
        </w:tc>
        <w:tc>
          <w:tcPr/>
          <w:p>
            <w:pPr>
              <w:pStyle w:val="Compact"/>
              <w:jc w:val="left"/>
            </w:pPr>
            <w:r>
              <w:t xml:space="preserve">4000</w:t>
            </w:r>
          </w:p>
        </w:tc>
        <w:tc>
          <w:tcPr/>
          <w:p>
            <w:pPr>
              <w:pStyle w:val="Compact"/>
              <w:jc w:val="left"/>
            </w:pPr>
            <w:r>
              <w:t xml:space="preserve">The SUT does not interpret correctly the</w:t>
            </w:r>
            <w:r>
              <w:t xml:space="preserve"> </w:t>
            </w:r>
            <w:r>
              <w:t xml:space="preserve">UtTrigger primitive</w:t>
            </w:r>
          </w:p>
        </w:tc>
      </w:tr>
      <w:tr>
        <w:tc>
          <w:tcPr>
            <w:gridSpan w:val="3"/>
          </w:tcPr>
          <w:p>
            <w:pPr>
              <w:pStyle w:val="Compact"/>
              <w:jc w:val="lef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4"/>
        </w:numPr>
      </w:pPr>
      <w:r>
        <w:t xml:space="preserve">Step 1) initialization of the master PTC.</w:t>
      </w:r>
    </w:p>
    <w:p>
      <w:pPr>
        <w:numPr>
          <w:ilvl w:val="0"/>
          <w:numId w:val="1024"/>
        </w:numPr>
      </w:pPr>
      <w:r>
        <w:t xml:space="preserve">Step 2) initialization of some parameters if required for the permutation test cases.</w:t>
      </w:r>
    </w:p>
    <w:p>
      <w:pPr>
        <w:numPr>
          <w:ilvl w:val="0"/>
          <w:numId w:val="1024"/>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5"/>
        </w:numPr>
      </w:pPr>
      <w:r>
        <w:t xml:space="preserve">Local Variables, declaration of local variables.</w:t>
      </w:r>
    </w:p>
    <w:p>
      <w:pPr>
        <w:pStyle w:val="Compact"/>
        <w:numPr>
          <w:ilvl w:val="1"/>
          <w:numId w:val="1025"/>
        </w:numPr>
      </w:pPr>
      <w:r>
        <w:t xml:space="preserve">Test Control, checking IUT capability parameters required for the proper execution of the test.</w:t>
      </w:r>
    </w:p>
    <w:p>
      <w:pPr>
        <w:pStyle w:val="Compact"/>
        <w:numPr>
          <w:ilvl w:val="1"/>
          <w:numId w:val="1025"/>
        </w:numPr>
      </w:pPr>
      <w:r>
        <w:t xml:space="preserve">Test Component Configuration, that initializes the given test component and other test components acting as slave PTC(s) as required by a given configuration.</w:t>
      </w:r>
    </w:p>
    <w:p>
      <w:pPr>
        <w:pStyle w:val="Compact"/>
        <w:numPr>
          <w:ilvl w:val="1"/>
          <w:numId w:val="1025"/>
        </w:numPr>
      </w:pPr>
      <w:r>
        <w:t xml:space="preserve">Test adapter configuration, that configures the test adapter throw the acPort if required.</w:t>
      </w:r>
    </w:p>
    <w:p>
      <w:pPr>
        <w:pStyle w:val="Compact"/>
        <w:numPr>
          <w:ilvl w:val="1"/>
          <w:numId w:val="1025"/>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5"/>
        </w:numPr>
      </w:pPr>
      <w:r>
        <w:t xml:space="preserve">Test body, that implements the test steps as described in the Expected behaviour of a Test Purpose.</w:t>
      </w:r>
    </w:p>
    <w:p>
      <w:pPr>
        <w:pStyle w:val="Compact"/>
        <w:numPr>
          <w:ilvl w:val="1"/>
          <w:numId w:val="1025"/>
        </w:numPr>
      </w:pPr>
      <w:r>
        <w:t xml:space="preserve">Postamble, that implements the necessary test steps to bring the IUT back to the initial state.</w:t>
      </w:r>
    </w:p>
    <w:p>
      <w:pPr>
        <w:pStyle w:val="Compact"/>
        <w:numPr>
          <w:ilvl w:val="1"/>
          <w:numId w:val="1025"/>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6"/>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7"/>
        </w:numPr>
      </w:pPr>
      <w:r>
        <w:t xml:space="preserve">in most cases, identifiers should be prefixed with a short alphabetic string (specified in table 7.2.1-1) indicating the type of TTCN3 element it represents;</w:t>
      </w:r>
    </w:p>
    <w:p>
      <w:pPr>
        <w:pStyle w:val="Compact"/>
        <w:numPr>
          <w:ilvl w:val="0"/>
          <w:numId w:val="1027"/>
        </w:numPr>
      </w:pPr>
      <w:r>
        <w:t xml:space="preserve">suffixes should not be used except in those specific cases identified in table 7.2.1-1;</w:t>
      </w:r>
    </w:p>
    <w:p>
      <w:pPr>
        <w:pStyle w:val="Compact"/>
        <w:numPr>
          <w:ilvl w:val="0"/>
          <w:numId w:val="1027"/>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8"/>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8"/>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9"/>
        </w:numPr>
      </w:pPr>
      <w:r>
        <w:t xml:space="preserve">The TTCN-3 test case or function identifier in which the log statement is defined.</w:t>
      </w:r>
    </w:p>
    <w:p>
      <w:pPr>
        <w:pStyle w:val="Compact"/>
        <w:numPr>
          <w:ilvl w:val="0"/>
          <w:numId w:val="1029"/>
        </w:numPr>
      </w:pPr>
      <w:r>
        <w:t xml:space="preserve">One of the categories of log: INFO, WARNING, ERROR, TIMEOUT, NONE.</w:t>
      </w:r>
    </w:p>
    <w:p>
      <w:pPr>
        <w:pStyle w:val="Compact"/>
        <w:numPr>
          <w:ilvl w:val="0"/>
          <w:numId w:val="1029"/>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30"/>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99"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V4.0.0</w:t>
            </w:r>
          </w:p>
        </w:tc>
        <w:tc>
          <w:tcPr/>
          <w:p>
            <w:pPr>
              <w:pStyle w:val="Compact"/>
            </w:pPr>
            <w:r>
              <w:t xml:space="preserve">2022-05-09</w:t>
            </w:r>
          </w:p>
        </w:tc>
        <w:tc>
          <w:tcPr/>
          <w:p>
            <w:pPr>
              <w:pStyle w:val="Compact"/>
            </w:pPr>
            <w:r>
              <w:t xml:space="preserve">Base document from TS-0019 v3.3.1</w:t>
            </w:r>
          </w:p>
        </w:tc>
      </w:tr>
      <w:tr>
        <w:tc>
          <w:tcPr/>
          <w:p>
            <w:pPr>
              <w:pStyle w:val="Compact"/>
            </w:pPr>
            <w:r>
              <w:t xml:space="preserve">V4.1.0</w:t>
            </w:r>
          </w:p>
        </w:tc>
        <w:tc>
          <w:tcPr/>
          <w:p>
            <w:pPr>
              <w:pStyle w:val="Compact"/>
            </w:pPr>
            <w:r>
              <w:t xml:space="preserve">2024-01-12</w:t>
            </w:r>
          </w:p>
        </w:tc>
        <w:tc>
          <w:tcPr/>
          <w:p>
            <w:pPr>
              <w:pStyle w:val="Compact"/>
            </w:pPr>
            <w:r>
              <w:t xml:space="preserve">Integrated approved contributions:</w:t>
            </w:r>
            <w:r>
              <w:br/>
            </w:r>
            <w:r>
              <w:t xml:space="preserve">TDE-2023-0052-TS-0019-Adaptation_from_converted_version_R4</w:t>
            </w:r>
          </w:p>
        </w:tc>
      </w:tr>
      <w:tr>
        <w:tc>
          <w:tcPr/>
          <w:p>
            <w:pPr>
              <w:pStyle w:val="Compact"/>
            </w:pPr>
            <w:r>
              <w:t xml:space="preserve">V4.1.1</w:t>
            </w:r>
          </w:p>
        </w:tc>
        <w:tc>
          <w:tcPr/>
          <w:p>
            <w:pPr>
              <w:pStyle w:val="Compact"/>
            </w:pPr>
            <w:r>
              <w:t xml:space="preserve">2024-03-1</w:t>
            </w:r>
          </w:p>
        </w:tc>
        <w:tc>
          <w:tcPr/>
          <w:p>
            <w:pPr>
              <w:pStyle w:val="Compact"/>
            </w:pPr>
            <w:r>
              <w:t xml:space="preserve">Editorial changes</w:t>
            </w: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1"/>
  </w:num>
  <w:num w:numId="1002">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1"/>
  </w:num>
  <w:num w:numId="1020">
    <w:abstractNumId w:val="991"/>
  </w:num>
  <w:num w:numId="102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2024-11-27T14:08:37Z</dcterms:created>
  <dcterms:modified xsi:type="dcterms:W3CDTF">2024-11-27T14:08:37Z</dcterms:modified>
</cp:coreProperties>
</file>

<file path=docProps/custom.xml><?xml version="1.0" encoding="utf-8"?>
<Properties xmlns="http://schemas.openxmlformats.org/officeDocument/2006/custom-properties" xmlns:vt="http://schemas.openxmlformats.org/officeDocument/2006/docPropsVTypes"/>
</file>