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jc w:val="left"/>
            </w:pPr>
            <w:r>
              <w:t xml:space="preserve">Document Number</w:t>
            </w:r>
          </w:p>
        </w:tc>
        <w:tc>
          <w:tcPr/>
          <w:p>
            <w:pPr>
              <w:pStyle w:val="Compact"/>
              <w:jc w:val="left"/>
            </w:pPr>
            <w:r>
              <w:t xml:space="preserve">oneM2M-TS-0019-V-4.1.2</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2024 December 1</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2025,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apt">
        <w:r>
          <w:rPr>
            <w:rStyle w:val="Hyperlink"/>
          </w:rPr>
          <w:t xml:space="preserve">5.1 Abstract protocol tester (APT)</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[i.6]</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[i.4]</w:t>
      </w:r>
      <w:r>
        <w:t xml:space="preserve"> </w:t>
      </w:r>
      <w:r>
        <w:t xml:space="preserve">and ISO/IEC 96462</w:t>
      </w:r>
      <w:r>
        <w:t xml:space="preserve"> </w:t>
      </w:r>
      <w:r>
        <w:t xml:space="preserve">[i.5]</w:t>
      </w:r>
      <w:r>
        <w:t xml:space="preserve">) as well as oneM2M TS-0015</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[4]</w:t>
      </w:r>
      <w:r>
        <w:t xml:space="preserve"> </w:t>
      </w:r>
      <w:r>
        <w:t xml:space="preserve">oneM2M TS-0018:</w:t>
      </w:r>
      <w:r>
        <w:t xml:space="preserve"> </w:t>
      </w:r>
      <w:r>
        <w:t xml:space="preserve">“Test Suite Structure and Test Purposes”</w:t>
      </w:r>
      <w:r>
        <w:t xml:space="preserve">.</w:t>
      </w:r>
    </w:p>
    <w:p>
      <w:pPr>
        <w:numPr>
          <w:ilvl w:val="0"/>
          <w:numId w:val="1003"/>
        </w:numPr>
      </w:pPr>
      <w:r>
        <w:t xml:space="preserve">[5]</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“Definition of product profiles”</w:t>
      </w:r>
      <w:r>
        <w:t xml:space="preserve">.</w:t>
      </w:r>
    </w:p>
    <w:p>
      <w:pPr>
        <w:numPr>
          <w:ilvl w:val="0"/>
          <w:numId w:val="1004"/>
        </w:numPr>
      </w:pPr>
      <w:r>
        <w:t xml:space="preserve">[i.4]</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4"/>
        </w:numPr>
      </w:pPr>
      <w:r>
        <w:t xml:space="preserve">[i.5]</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4"/>
        </w:numPr>
      </w:pPr>
      <w:r>
        <w:t xml:space="preserve">[i.6]</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[i_4]</w:t>
      </w:r>
      <w:r>
        <w:t xml:space="preserve">, ISO/IEC 9646-7</w:t>
      </w:r>
      <w:r>
        <w:t xml:space="preserve"> </w:t>
      </w:r>
      <w:r>
        <w:t xml:space="preserve">[i.6]</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t xml:space="preserve"> </w:t>
      </w:r>
      <w:r>
        <w:rPr>
          <w:rStyle w:val="VerbatimChar"/>
        </w:rPr>
        <w:t xml:space="preserve">ASP    Abstract Service Primitives</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t xml:space="preserve"> </w:t>
      </w:r>
      <w:r>
        <w:rPr>
          <w:rStyle w:val="VerbatimChar"/>
        </w:rPr>
        <w:t xml:space="preserve">M2M     Machine to machine</w:t>
      </w:r>
      <w:r>
        <w:t xml:space="preserve"> </w:t>
      </w:r>
      <w:r>
        <w:rPr>
          <w:rStyle w:val="VerbatimChar"/>
        </w:rPr>
        <w:t xml:space="preserve">MN     Middle Node</w:t>
      </w:r>
      <w:r>
        <w:t xml:space="preserve"> </w:t>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apt"/>
    <w:p>
      <w:pPr>
        <w:pStyle w:val="Heading2"/>
      </w:pPr>
      <w:r>
        <w:t xml:space="preserve">5.1 Abstract protocol tester (APT)</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pct" w:w="4375"/>
        <w:tblLayout w:type="fixed"/>
        <w:tblLook w:firstRow="1" w:lastRow="0" w:firstColumn="0" w:lastColumn="0" w:noHBand="0" w:noVBand="0" w:val="0020"/>
        <w:tblCaption w:val="Table 5.4.1-1: Mapping of TTCN-3 Primitives to oneM2M Service Primitives"/>
      </w:tblPr>
      <w:tblGrid>
        <w:gridCol w:w="2530"/>
        <w:gridCol w:w="2200"/>
        <w:gridCol w:w="154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auto" w:w="0"/>
        <w:tblLook w:firstRow="1" w:lastRow="0" w:firstColumn="0" w:lastColumn="0" w:noHBand="0" w:noVBand="0" w:val="0020"/>
        <w:tblCaption w:val="Table 5.4.4.2.1-1: Mapping of TTCN-3 Primitives to oneM2M Service Primitives"/>
      </w:tblPr>
      <w:tblGrid>
        <w:gridCol w:w="2640"/>
        <w:gridCol w:w="2640"/>
        <w:gridCol w:w="264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 → 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 → 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4883"/>
        <w:tblLayout w:type="fixed"/>
        <w:tblLook w:firstRow="1" w:lastRow="0" w:firstColumn="0" w:lastColumn="0" w:noHBand="0" w:noVBand="0" w:val="0020"/>
        <w:tblCaption w:val="Table 5.4.4.2.2-1: UtTrigger and UtTriggerAck Primitive"/>
      </w:tblPr>
      <w:tblGrid>
        <w:gridCol w:w="972"/>
        <w:gridCol w:w="926"/>
        <w:gridCol w:w="880"/>
        <w:gridCol w:w="1204"/>
        <w:gridCol w:w="1852"/>
        <w:gridCol w:w="1898"/>
      </w:tblGrid>
      <w:tr>
        <w:trPr>
          <w:tblHeader w:val="on"/>
        </w:trPr>
        <w:tc>
          <w:tcPr/>
          <w:p>
            <w:pPr>
              <w:pStyle w:val="Compact"/>
              <w:jc w:val="left"/>
            </w:pPr>
            <w:r>
              <w:t xml:space="preserve">Ut Control Primitive</w:t>
            </w:r>
            <w:r>
              <w:t xml:space="preserve"> </w:t>
            </w:r>
            <w:r>
              <w:t xml:space="preserve">message</w:t>
            </w:r>
          </w:p>
        </w:tc>
        <w:tc>
          <w:tcPr/>
          <w:p>
            <w:pPr>
              <w:pStyle w:val="Compact"/>
              <w:jc w:val="left"/>
            </w:pPr>
            <w:r>
              <w:t xml:space="preserve">Mapping to oneM2M</w:t>
            </w:r>
            <w:r>
              <w:t xml:space="preserve"> </w:t>
            </w:r>
            <w:r>
              <w:t xml:space="preserve">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w:t>
            </w:r>
          </w:p>
        </w:tc>
      </w:tr>
      <w:tr>
        <w:tc>
          <w:tcPr>
            <w:vMerge w:val="restart"/>
          </w:tcPr>
          <w:p>
            <w:pPr>
              <w:pStyle w:val="Compact"/>
              <w:jc w:val="left"/>
            </w:pPr>
            <w:r>
              <w:rPr>
                <w:i/>
                <w:iCs/>
              </w:rPr>
              <w:t xml:space="preserve">UtTrigger</w:t>
            </w:r>
            <w:r>
              <w:t xml:space="preserve"> </w:t>
            </w:r>
            <w:r>
              <w:rPr>
                <w:i/>
                <w:iCs/>
              </w:rPr>
              <w:t xml:space="preserve">Primitive</w:t>
            </w:r>
          </w:p>
        </w:tc>
        <w:tc>
          <w:tcPr>
            <w:vMerge w:val="restart"/>
          </w:tcPr>
          <w:p>
            <w:pPr>
              <w:pStyle w:val="Compact"/>
              <w:jc w:val="left"/>
            </w:pPr>
            <w:r>
              <w:rPr>
                <w:i/>
                <w:iCs/>
              </w:rPr>
              <w:t xml:space="preserve">requestPrimitive</w:t>
            </w:r>
          </w:p>
        </w:tc>
        <w:tc>
          <w:tcPr>
            <w:vMerge w:val="restart"/>
          </w:tcPr>
          <w:p>
            <w:pPr>
              <w:pStyle w:val="Compact"/>
              <w:jc w:val="left"/>
            </w:pPr>
            <w:r>
              <w:t xml:space="preserve">ONLY essential</w:t>
            </w:r>
            <w:r>
              <w:t xml:space="preserve"> </w:t>
            </w:r>
            <w:r>
              <w:t xml:space="preserve">parameters</w:t>
            </w:r>
            <w:r>
              <w:t xml:space="preserve"> </w:t>
            </w:r>
            <w:r>
              <w:t xml:space="preserve">included for</w:t>
            </w:r>
            <w:r>
              <w:t xml:space="preserve"> </w:t>
            </w:r>
            <w:r>
              <w:t xml:space="preserve">certain test</w:t>
            </w:r>
            <w:r>
              <w:t xml:space="preserve"> </w:t>
            </w:r>
            <w:r>
              <w:t xml:space="preserve">case</w:t>
            </w:r>
            <w:r>
              <w:br/>
            </w:r>
            <w:r>
              <w:t xml:space="preserve">See NOTE 1</w:t>
            </w:r>
          </w:p>
        </w:tc>
        <w:tc>
          <w:tcPr>
            <w:vMerge w:val="restart"/>
          </w:tcPr>
          <w:p>
            <w:pPr>
              <w:pStyle w:val="Compact"/>
              <w:jc w:val="left"/>
            </w:pPr>
            <w:r>
              <w:t xml:space="preserve">oneM2M TS-0004</w:t>
            </w:r>
            <w:r>
              <w:t xml:space="preserve"> </w:t>
            </w:r>
            <w:r>
              <w:t xml:space="preserve">[2]</w:t>
            </w:r>
          </w:p>
        </w:tc>
        <w:tc>
          <w:tcPr>
            <w:gridSpan w:val="2"/>
          </w:tcPr>
          <w:p>
            <w:pPr>
              <w:pStyle w:val="Compact"/>
              <w:jc w:val="left"/>
            </w:pPr>
            <w:r>
              <w:rPr>
                <w:b/>
                <w:bCs/>
              </w:rPr>
              <w:t xml:space="preserve">EXAMPLE</w:t>
            </w:r>
            <w:r>
              <w:t xml:space="preserve"> </w:t>
            </w:r>
            <w:r>
              <w:rPr>
                <w:b/>
                <w:bCs/>
              </w:rPr>
              <w:t xml:space="preserve">1:</w:t>
            </w:r>
            <w:r>
              <w:t xml:space="preserve"> </w:t>
            </w:r>
            <w:r>
              <w:t xml:space="preserve">If the test objective is to test</w:t>
            </w:r>
            <w:r>
              <w:t xml:space="preserve"> </w:t>
            </w:r>
            <w:r>
              <w:rPr>
                <w:b/>
                <w:bCs/>
                <w:i/>
                <w:iCs/>
              </w:rPr>
              <w:t xml:space="preserve">“Test</w:t>
            </w:r>
            <w:r>
              <w:rPr>
                <w:b/>
                <w:bCs/>
                <w:i/>
                <w:iCs/>
              </w:rPr>
              <w:t xml:space="preserve"> </w:t>
            </w:r>
            <w:r>
              <w:rPr>
                <w:b/>
                <w:bCs/>
                <w:i/>
                <w:iCs/>
              </w:rPr>
              <w:t xml:space="preserve">triggers</w:t>
            </w:r>
            <w:r>
              <w:rPr>
                <w:b/>
                <w:bCs/>
              </w:rPr>
              <w:t xml:space="preserve"> </w:t>
            </w:r>
            <w:r>
              <w:rPr>
                <w:b/>
                <w:bCs/>
                <w:i/>
                <w:iCs/>
              </w:rPr>
              <w:t xml:space="preserve">IUT</w:t>
            </w:r>
            <w:r>
              <w:rPr>
                <w:b/>
                <w:bCs/>
              </w:rPr>
              <w:t xml:space="preserve"> </w:t>
            </w:r>
            <w:r>
              <w:rPr>
                <w:b/>
                <w:bCs/>
                <w:i/>
                <w:iCs/>
              </w:rPr>
              <w:t xml:space="preserve">to execute a test case for creation of &lt;</w:t>
            </w:r>
            <w:r>
              <w:rPr>
                <w:b/>
                <w:bCs/>
              </w:rPr>
              <w:t xml:space="preserve"> </w:t>
            </w:r>
            <w:r>
              <w:rPr>
                <w:b/>
                <w:bCs/>
                <w:i/>
                <w:iCs/>
              </w:rPr>
              <w:t xml:space="preserve">AE</w:t>
            </w:r>
            <w:r>
              <w:rPr>
                <w:b/>
                <w:bCs/>
              </w:rPr>
              <w:t xml:space="preserve"> </w:t>
            </w:r>
            <w:r>
              <w:rPr>
                <w:b/>
                <w:bCs/>
                <w:i/>
                <w:iCs/>
              </w:rPr>
              <w:t xml:space="preserve">&gt;</w:t>
            </w:r>
            <w:r>
              <w:rPr>
                <w:b/>
                <w:bCs/>
                <w:i/>
                <w:iCs/>
              </w:rPr>
              <w:t xml:space="preserve"> </w:t>
            </w:r>
            <w:r>
              <w:rPr>
                <w:b/>
                <w:bCs/>
                <w:i/>
                <w:iCs/>
              </w:rPr>
              <w:t xml:space="preserve">with abels attribute under a</w:t>
            </w:r>
            <w:r>
              <w:rPr>
                <w:b/>
                <w:bCs/>
              </w:rPr>
              <w:t xml:space="preserve"> </w:t>
            </w:r>
            <w:r>
              <w:rPr>
                <w:b/>
                <w:bCs/>
                <w:i/>
                <w:iCs/>
              </w:rPr>
              <w:t xml:space="preserve">CSEBase</w:t>
            </w:r>
            <w:r>
              <w:rPr>
                <w:b/>
                <w:bCs/>
              </w:rPr>
              <w:t xml:space="preserve"> </w:t>
            </w:r>
            <w:r>
              <w:rPr>
                <w:b/>
                <w:bCs/>
                <w:i/>
                <w:iCs/>
              </w:rPr>
              <w:t xml:space="preserve">resource</w:t>
            </w:r>
            <w:r>
              <w:rPr>
                <w:b/>
                <w:bCs/>
              </w:rPr>
              <w:t xml:space="preserve">"</w:t>
            </w:r>
            <w:r>
              <w:t xml:space="preserve">, then</w:t>
            </w:r>
            <w:r>
              <w:t xml:space="preserve"> </w:t>
            </w:r>
            <w:r>
              <w:t xml:space="preserve">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t xml:space="preserve"> </w:t>
            </w:r>
            <w:r>
              <w:t xml:space="preserve"> }</w:t>
            </w:r>
            <w:r>
              <w:t xml:space="preserve"> </w:t>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gridSpan w:val="2"/>
          </w:tcPr>
          <w:p>
            <w:pPr>
              <w:pStyle w:val="Compact"/>
              <w:jc w:val="left"/>
            </w:pPr>
            <w:r>
              <w:rPr>
                <w:b/>
                <w:bCs/>
              </w:rPr>
              <w:t xml:space="preserve">EXAMPLE</w:t>
            </w:r>
            <w:r>
              <w:t xml:space="preserve"> </w:t>
            </w:r>
            <w:r>
              <w:rPr>
                <w:b/>
                <w:bCs/>
              </w:rPr>
              <w:t xml:space="preserve">2:</w:t>
            </w:r>
            <w:r>
              <w:t xml:space="preserve"> </w:t>
            </w:r>
            <w:r>
              <w:t xml:space="preserve">If the test objective is to test **</w:t>
            </w:r>
            <w:r>
              <w:rPr>
                <w:i/>
                <w:iCs/>
              </w:rPr>
              <w:t xml:space="preserve">“Test System</w:t>
            </w:r>
            <w:r>
              <w:rPr>
                <w:i/>
                <w:iCs/>
              </w:rPr>
              <w:t xml:space="preserve"> </w:t>
            </w:r>
            <w:r>
              <w:rPr>
                <w:i/>
                <w:iCs/>
              </w:rPr>
              <w:t xml:space="preserve">triggers</w:t>
            </w:r>
            <w:r>
              <w:t xml:space="preserve"> </w:t>
            </w:r>
            <w:r>
              <w:rPr>
                <w:i/>
                <w:iCs/>
              </w:rPr>
              <w:t xml:space="preserve">IUT</w:t>
            </w:r>
            <w:r>
              <w:t xml:space="preserve"> </w:t>
            </w:r>
            <w:r>
              <w:rPr>
                <w:i/>
                <w:iCs/>
              </w:rPr>
              <w:t xml:space="preserve">to execute a test case for delete of &lt;</w:t>
            </w:r>
            <w:r>
              <w:t xml:space="preserve"> </w:t>
            </w:r>
            <w:r>
              <w:rPr>
                <w:i/>
                <w:iCs/>
              </w:rPr>
              <w:t xml:space="preserve">AE</w:t>
            </w:r>
            <w:r>
              <w:t xml:space="preserve"> </w:t>
            </w:r>
            <w:r>
              <w:t xml:space="preserve">_&gt;</w:t>
            </w:r>
            <w:r>
              <w:t xml:space="preserve"> </w:t>
            </w:r>
            <w:r>
              <w:rPr>
                <w:i/>
                <w:iCs/>
              </w:rPr>
              <w:t xml:space="preserve">resource</w:t>
            </w:r>
            <w:r>
              <w:t xml:space="preserve">"**, then 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:{TARGET_AE_RESOURCE_ADDRESS},</w:t>
            </w:r>
            <w:r>
              <w:br/>
            </w:r>
            <w:r>
              <w:t xml:space="preserve">//indicate Target AE resource address</w:t>
            </w:r>
            <w:r>
              <w:t xml:space="preserve"> </w:t>
            </w:r>
            <w:r>
              <w:t xml:space="preserve">“rvi”</w:t>
            </w:r>
            <w:r>
              <w:t xml:space="preserve">:</w:t>
            </w:r>
            <w:r>
              <w:t xml:space="preserve"> </w:t>
            </w:r>
            <w:r>
              <w:t xml:space="preserve">“2a”</w:t>
            </w:r>
            <w:r>
              <w:br/>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4, //indicate DELETE peration</w:t>
            </w:r>
            <w:r>
              <w:br/>
            </w:r>
            <w:r>
              <w:t xml:space="preserve">“to”</w:t>
            </w:r>
            <w:r>
              <w:t xml:space="preserve">:{TARGET_AE_RESOURCE_ADDRESS},</w:t>
            </w:r>
            <w:r>
              <w:br/>
            </w:r>
            <w:r>
              <w:t xml:space="preserve">//indicate Target AE resource address</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p>
            <w:pPr>
              <w:pStyle w:val="Compact"/>
              <w:jc w:val="left"/>
            </w:pPr>
            <w:r>
              <w:t xml:space="preserve">N/A</w:t>
            </w:r>
          </w:p>
        </w:tc>
        <w:tc>
          <w:tcPr/>
          <w:p>
            <w:pPr>
              <w:pStyle w:val="Compact"/>
              <w:jc w:val="left"/>
            </w:pPr>
            <w:r>
              <w:t xml:space="preserve">Special upper</w:t>
            </w:r>
            <w:r>
              <w:t xml:space="preserve"> </w:t>
            </w:r>
            <w:r>
              <w:t xml:space="preserve">tester</w:t>
            </w:r>
            <w:r>
              <w:t xml:space="preserve"> </w:t>
            </w:r>
            <w:r>
              <w:t xml:space="preserve">commands</w:t>
            </w:r>
          </w:p>
        </w:tc>
        <w:tc>
          <w:tcPr/>
          <w:p>
            <w:pPr>
              <w:pStyle w:val="Compact"/>
              <w:jc w:val="left"/>
            </w:pPr>
            <w:r>
              <w:t xml:space="preserve">N/A</w:t>
            </w:r>
          </w:p>
        </w:tc>
        <w:tc>
          <w:tcPr/>
          <w:p>
            <w:pPr>
              <w:pStyle w:val="Compact"/>
              <w:jc w:val="left"/>
            </w:pPr>
            <w:r>
              <w:rPr>
                <w:b/>
                <w:bCs/>
              </w:rPr>
              <w:t xml:space="preserve">“RESET”</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w:t>
            </w:r>
            <w:r>
              <w:t xml:space="preserve">: {SUT_IP_ADDRESS:PORT}</w:t>
            </w:r>
            <w:r>
              <w:br/>
            </w:r>
            <w:r>
              <w:rPr>
                <w:b/>
                <w:bCs/>
              </w:rPr>
              <w:t xml:space="preserve">X-M2M-UTCMD: Reset</w:t>
            </w:r>
            <w:r>
              <w:br/>
            </w:r>
          </w:p>
        </w:tc>
      </w:tr>
      <w:tr>
        <w:tc>
          <w:tcPr/>
          <w:p>
            <w:pPr>
              <w:pStyle w:val="Compact"/>
              <w:jc w:val="left"/>
            </w:pPr>
            <w:r>
              <w:rPr>
                <w:i/>
                <w:iCs/>
              </w:rPr>
              <w:t xml:space="preserve">UtTrigger</w:t>
            </w:r>
            <w:r>
              <w:t xml:space="preserve"> </w:t>
            </w:r>
            <w:r>
              <w:rPr>
                <w:i/>
                <w:iCs/>
              </w:rPr>
              <w:t xml:space="preserve">Ack</w:t>
            </w:r>
            <w:r>
              <w:t xml:space="preserve"> </w:t>
            </w:r>
            <w:r>
              <w:rPr>
                <w:i/>
                <w:iCs/>
              </w:rPr>
              <w:t xml:space="preserve">Primitive</w:t>
            </w:r>
          </w:p>
        </w:tc>
        <w:tc>
          <w:tcPr/>
          <w:p>
            <w:pPr>
              <w:pStyle w:val="Compact"/>
              <w:jc w:val="left"/>
            </w:pPr>
            <w:r>
              <w:rPr>
                <w:i/>
                <w:iCs/>
              </w:rPr>
              <w:t xml:space="preserve">responsePrimitive</w:t>
            </w:r>
          </w:p>
        </w:tc>
        <w:tc>
          <w:tcPr/>
          <w:p>
            <w:pPr>
              <w:pStyle w:val="Compact"/>
              <w:jc w:val="left"/>
            </w:pPr>
            <w:r>
              <w:t xml:space="preserve">ONLY</w:t>
            </w:r>
            <w:r>
              <w:t xml:space="preserve"> </w:t>
            </w:r>
            <w:r>
              <w:t xml:space="preserve">responseStatusCode</w:t>
            </w:r>
            <w:r>
              <w:t xml:space="preserve"> </w:t>
            </w:r>
            <w:r>
              <w:t xml:space="preserve">attribute</w:t>
            </w:r>
            <w:r>
              <w:t xml:space="preserve"> </w:t>
            </w:r>
            <w:r>
              <w:t xml:space="preserve">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t xml:space="preserve">}</w:t>
            </w:r>
            <w:r>
              <w:br/>
            </w:r>
            <w:r>
              <w:br/>
            </w:r>
            <w:r>
              <w:t xml:space="preserve">For any triggering response, it only</w:t>
            </w:r>
            <w:r>
              <w:t xml:space="preserve"> </w:t>
            </w:r>
            <w:r>
              <w:t xml:space="preserve">contains aresponse status code, and the</w:t>
            </w:r>
            <w:r>
              <w:t xml:space="preserve"> </w:t>
            </w:r>
            <w:r>
              <w:t xml:space="preserve">response status code for the triggering</w:t>
            </w:r>
            <w:r>
              <w:t xml:space="preserve"> </w:t>
            </w:r>
            <w:r>
              <w:t xml:space="preserve">operation can only be set to either</w:t>
            </w:r>
            <w:r>
              <w:t xml:space="preserve"> </w:t>
            </w:r>
            <w:r>
              <w:t xml:space="preserve">either 2000 (OK) or 4000 (BAD_REQUEST)</w:t>
            </w:r>
            <w:r>
              <w:t xml:space="preserve"> </w:t>
            </w:r>
            <w:r>
              <w:t xml:space="preserve">according to the rules for triggering</w:t>
            </w:r>
            <w:r>
              <w:t xml:space="preserve"> </w:t>
            </w:r>
            <w:r>
              <w:t xml:space="preserve">operations.</w:t>
            </w:r>
          </w:p>
        </w:tc>
        <w:tc>
          <w:tcPr/>
          <w:p>
            <w:pPr>
              <w:pStyle w:val="Compact"/>
              <w:jc w:val="left"/>
            </w:pPr>
            <w:r>
              <w:rPr>
                <w:b/>
                <w:bCs/>
              </w:rPr>
              <w:t xml:space="preserve">Response</w:t>
            </w:r>
            <w:r>
              <w:br/>
            </w:r>
            <w:r>
              <w:t xml:space="preserve">HTTP/1.1 200 OK</w:t>
            </w:r>
            <w:r>
              <w:br/>
            </w:r>
            <w:r>
              <w:t xml:space="preserve">X-M2M-RSC: 2000</w:t>
            </w:r>
            <w:r>
              <w:br/>
            </w:r>
          </w:p>
        </w:tc>
      </w:tr>
      <w:tr>
        <w:tc>
          <w:tcPr>
            <w:gridSpan w:val="6"/>
          </w:tcPr>
          <w:p>
            <w:pPr>
              <w:pStyle w:val="Compact"/>
              <w:jc w:val="lef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47"/>
        <w:tblLayout w:type="fixed"/>
        <w:tblLook w:firstRow="1" w:lastRow="0" w:firstColumn="0" w:lastColumn="0" w:noHBand="0" w:noVBand="0" w:val="0020"/>
        <w:tblCaption w:val="Table 5.4.4.2.2-3: Definition of ResponseStatusCode for UtTriggerAck primitive"/>
      </w:tblPr>
      <w:tblGrid>
        <w:gridCol w:w="2084"/>
        <w:gridCol w:w="1500"/>
        <w:gridCol w:w="4251"/>
      </w:tblGrid>
      <w:tr>
        <w:trPr>
          <w:tblHeader w:val="on"/>
        </w:trPr>
        <w:tc>
          <w:tcPr/>
          <w:p>
            <w:pPr>
              <w:pStyle w:val="Compact"/>
              <w:jc w:val="left"/>
            </w:pPr>
            <w:r>
              <w:t xml:space="preserve">Response Status</w:t>
            </w:r>
            <w:r>
              <w:t xml:space="preserve"> </w:t>
            </w:r>
            <w:r>
              <w:t xml:space="preserve">Code Description</w:t>
            </w:r>
          </w:p>
        </w:tc>
        <w:tc>
          <w:tcPr/>
          <w:p>
            <w:pPr>
              <w:pStyle w:val="Compact"/>
              <w:jc w:val="left"/>
            </w:pPr>
            <w:r>
              <w:t xml:space="preserve">Response Status</w:t>
            </w:r>
            <w:r>
              <w:t xml:space="preserve"> </w:t>
            </w:r>
            <w:r>
              <w:t xml:space="preserve">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w:t>
            </w:r>
            <w:r>
              <w:t xml:space="preserve"> </w:t>
            </w:r>
            <w:r>
              <w:t xml:space="preserve">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4917"/>
        <w:tblLayout w:type="fixed"/>
        <w:tblLook w:firstRow="1" w:lastRow="0" w:firstColumn="0" w:lastColumn="0" w:noHBand="0" w:noVBand="0" w:val="0020"/>
        <w:tblCaption w:val="Table 5.5.1-1: Tester component elements"/>
      </w:tblPr>
      <w:tblGrid>
        <w:gridCol w:w="2772"/>
        <w:gridCol w:w="990"/>
        <w:gridCol w:w="1320"/>
        <w:gridCol w:w="2706"/>
      </w:tblGrid>
      <w:tr>
        <w:trPr>
          <w:tblHeader w:val="on"/>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w:t>
            </w:r>
            <w:r>
              <w:t xml:space="preserve"> </w:t>
            </w:r>
            <w:r>
              <w:t xml:space="preserve">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w:t>
            </w:r>
            <w:r>
              <w:t xml:space="preserve"> </w:t>
            </w:r>
            <w:r>
              <w:t xml:space="preserve">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w:t>
            </w:r>
            <w:r>
              <w:t xml:space="preserve"> </w:t>
            </w:r>
            <w:r>
              <w:t xml:space="preserve">Application for triggering actions on</w:t>
            </w:r>
            <w:r>
              <w:t xml:space="preserve"> </w:t>
            </w:r>
            <w:r>
              <w:t xml:space="preserve">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w:t>
            </w:r>
            <w:r>
              <w:t xml:space="preserve"> </w:t>
            </w:r>
            <w:r>
              <w:t xml:space="preserve">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w:t>
            </w:r>
            <w:r>
              <w:t xml:space="preserve"> </w:t>
            </w:r>
            <w:r>
              <w:t xml:space="preserve">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w:t>
            </w:r>
            <w:r>
              <w:t xml:space="preserve"> </w:t>
            </w:r>
            <w:r>
              <w:t xml:space="preserve">test case |</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w:t>
            </w:r>
            <w:r>
              <w:t xml:space="preserve"> </w:t>
            </w:r>
            <w:r>
              <w:t xml:space="preserve">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w:t>
            </w:r>
            <w:r>
              <w:t xml:space="preserve"> </w:t>
            </w:r>
            <w:r>
              <w:t xml:space="preserve">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w:t>
            </w:r>
            <w:r>
              <w:t xml:space="preserve"> </w:t>
            </w:r>
            <w:r>
              <w:t xml:space="preserve">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w:t>
            </w:r>
            <w:r>
              <w:t xml:space="preserve"> </w:t>
            </w:r>
            <w:r>
              <w:t xml:space="preserve">the test system on the IUT that need to</w:t>
            </w:r>
            <w:r>
              <w:t xml:space="preserve"> </w:t>
            </w:r>
            <w:r>
              <w:t xml:space="preserve">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w:t>
            </w:r>
            <w:r>
              <w:t xml:space="preserve"> </w:t>
            </w:r>
            <w:r>
              <w:t xml:space="preserve">used by the test system by default</w:t>
            </w:r>
            <w:r>
              <w:t xml:space="preserve"> </w:t>
            </w:r>
            <w:r>
              <w:t xml:space="preserve">(when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jc w:val="left"/>
            </w:pPr>
            <w:r>
              <w:t xml:space="preserve">Parameters for the ports of the given</w:t>
            </w:r>
            <w:r>
              <w:t xml:space="preserve"> </w:t>
            </w:r>
            <w:r>
              <w:t xml:space="preserve">component:</w:t>
            </w:r>
          </w:p>
          <w:p>
            <w:pPr>
              <w:pStyle w:val="Compact"/>
              <w:numPr>
                <w:ilvl w:val="0"/>
                <w:numId w:val="1024"/>
              </w:numPr>
              <w:jc w:val="left"/>
            </w:pPr>
            <w:r>
              <w:t xml:space="preserve">Port (mcaPort, mcaPortIn, mccPort,</w:t>
            </w:r>
            <w:r>
              <w:t xml:space="preserve"> </w:t>
            </w:r>
            <w:r>
              <w:t xml:space="preserve">mccPortIn)</w:t>
            </w:r>
          </w:p>
          <w:p>
            <w:pPr>
              <w:pStyle w:val="Compact"/>
              <w:numPr>
                <w:ilvl w:val="0"/>
                <w:numId w:val="1024"/>
              </w:numPr>
              <w:jc w:val="left"/>
            </w:pPr>
            <w:r>
              <w:t xml:space="preserve">Host (SUT IP address :port)</w:t>
            </w:r>
          </w:p>
          <w:p>
            <w:pPr>
              <w:pStyle w:val="Compact"/>
              <w:numPr>
                <w:ilvl w:val="0"/>
                <w:numId w:val="1024"/>
              </w:numPr>
              <w:jc w:val="left"/>
            </w:pPr>
            <w:r>
              <w:t xml:space="preserve">Protocol binding</w:t>
            </w:r>
          </w:p>
          <w:p>
            <w:pPr>
              <w:pStyle w:val="Compact"/>
              <w:numPr>
                <w:ilvl w:val="0"/>
                <w:numId w:val="1024"/>
              </w:numPr>
              <w:jc w:val="left"/>
            </w:pPr>
            <w:r>
              <w:t xml:space="preserve">Serialization</w:t>
            </w:r>
          </w:p>
        </w:tc>
      </w:tr>
      <w:tr>
        <w:tc>
          <w:tcPr>
            <w:gridSpan w:val="4"/>
          </w:tcPr>
          <w:p>
            <w:pPr>
              <w:pStyle w:val="Compact"/>
              <w:jc w:val="left"/>
            </w:pPr>
            <w:r>
              <w:t xml:space="preserve">Note that vc_aeSimu and vc_cseSimu are not common to the other defined test components, but those variables are</w:t>
            </w:r>
            <w:r>
              <w:t xml:space="preserve"> </w:t>
            </w:r>
            <w:r>
              <w:t xml:space="preserve">required in Tester for the correct activation/deactivation of default behaviours.</w:t>
            </w:r>
          </w:p>
        </w:tc>
      </w:tr>
    </w:tbl>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5"/>
        </w:numPr>
      </w:pPr>
      <w:r>
        <w:t xml:space="preserve">Step 1) initialization of the master PTC.</w:t>
      </w:r>
    </w:p>
    <w:p>
      <w:pPr>
        <w:numPr>
          <w:ilvl w:val="0"/>
          <w:numId w:val="1025"/>
        </w:numPr>
      </w:pPr>
      <w:r>
        <w:t xml:space="preserve">Step 2) initialization of some parameters if required for the permutation test cases.</w:t>
      </w:r>
    </w:p>
    <w:p>
      <w:pPr>
        <w:numPr>
          <w:ilvl w:val="0"/>
          <w:numId w:val="1025"/>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6"/>
        </w:numPr>
      </w:pPr>
      <w:r>
        <w:t xml:space="preserve">Local Variables, declaration of local variables.</w:t>
      </w:r>
    </w:p>
    <w:p>
      <w:pPr>
        <w:pStyle w:val="Compact"/>
        <w:numPr>
          <w:ilvl w:val="1"/>
          <w:numId w:val="1026"/>
        </w:numPr>
      </w:pPr>
      <w:r>
        <w:t xml:space="preserve">Test Control, checking IUT capability parameters required for the proper execution of the test.</w:t>
      </w:r>
    </w:p>
    <w:p>
      <w:pPr>
        <w:pStyle w:val="Compact"/>
        <w:numPr>
          <w:ilvl w:val="1"/>
          <w:numId w:val="1026"/>
        </w:numPr>
      </w:pPr>
      <w:r>
        <w:t xml:space="preserve">Test Component Configuration, that initializes the given test component and other test components acting as slave PTC(s) as required by a given configuration.</w:t>
      </w:r>
    </w:p>
    <w:p>
      <w:pPr>
        <w:pStyle w:val="Compact"/>
        <w:numPr>
          <w:ilvl w:val="1"/>
          <w:numId w:val="1026"/>
        </w:numPr>
      </w:pPr>
      <w:r>
        <w:t xml:space="preserve">Test adapter configuration, that configures the test adapter throw the acPort if required.</w:t>
      </w:r>
    </w:p>
    <w:p>
      <w:pPr>
        <w:pStyle w:val="Compact"/>
        <w:numPr>
          <w:ilvl w:val="1"/>
          <w:numId w:val="1026"/>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6"/>
        </w:numPr>
      </w:pPr>
      <w:r>
        <w:t xml:space="preserve">Test body, that implements the test steps as described in the Expected behaviour of a Test Purpose.</w:t>
      </w:r>
    </w:p>
    <w:p>
      <w:pPr>
        <w:pStyle w:val="Compact"/>
        <w:numPr>
          <w:ilvl w:val="1"/>
          <w:numId w:val="1026"/>
        </w:numPr>
      </w:pPr>
      <w:r>
        <w:t xml:space="preserve">Postamble, that implements the necessary test steps to bring the IUT back to the initial state.</w:t>
      </w:r>
    </w:p>
    <w:p>
      <w:pPr>
        <w:pStyle w:val="Compact"/>
        <w:numPr>
          <w:ilvl w:val="1"/>
          <w:numId w:val="1026"/>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7"/>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8"/>
        </w:numPr>
      </w:pPr>
      <w:r>
        <w:t xml:space="preserve">in most cases, identifiers should be prefixed with a short alphabetic string (specified in table 7.2.1-1) indicating the type of TTCN3 element it represents;</w:t>
      </w:r>
    </w:p>
    <w:p>
      <w:pPr>
        <w:pStyle w:val="Compact"/>
        <w:numPr>
          <w:ilvl w:val="0"/>
          <w:numId w:val="1028"/>
        </w:numPr>
      </w:pPr>
      <w:r>
        <w:t xml:space="preserve">suffixes should not be used except in those specific cases identified in table 7.2.1-1;</w:t>
      </w:r>
    </w:p>
    <w:p>
      <w:pPr>
        <w:pStyle w:val="Compact"/>
        <w:numPr>
          <w:ilvl w:val="0"/>
          <w:numId w:val="1028"/>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9"/>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9"/>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30"/>
        </w:numPr>
      </w:pPr>
      <w:r>
        <w:t xml:space="preserve">The TTCN-3 test case or function identifier in which the log statement is defined.</w:t>
      </w:r>
    </w:p>
    <w:p>
      <w:pPr>
        <w:pStyle w:val="Compact"/>
        <w:numPr>
          <w:ilvl w:val="0"/>
          <w:numId w:val="1030"/>
        </w:numPr>
      </w:pPr>
      <w:r>
        <w:t xml:space="preserve">One of the categories of log: INFO, WARNING, ERROR, TIMEOUT, NONE.</w:t>
      </w:r>
    </w:p>
    <w:p>
      <w:pPr>
        <w:pStyle w:val="Compact"/>
        <w:numPr>
          <w:ilvl w:val="0"/>
          <w:numId w:val="1030"/>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1"/>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pct" w:w="4948"/>
        <w:tblLayout w:type="fixed"/>
        <w:tblLook w:firstRow="1" w:lastRow="0" w:firstColumn="0" w:lastColumn="0" w:noHBand="0" w:noVBand="0" w:val="0020"/>
        <w:tblCaption w:val="Table 7.2.4-1: TC naming convention"/>
      </w:tblPr>
      <w:tblGrid>
        <w:gridCol w:w="2367"/>
        <w:gridCol w:w="1388"/>
        <w:gridCol w:w="4082"/>
      </w:tblGrid>
      <w:tr>
        <w:trPr>
          <w:tblHeader w:val="on"/>
        </w:trPr>
        <w:tc>
          <w:tcPr>
            <w:gridSpan w:val="3"/>
          </w:tcPr>
          <w:p>
            <w:pPr>
              <w:pStyle w:val="Compact"/>
              <w:jc w:val="left"/>
            </w:pPr>
            <w:r>
              <w:t xml:space="preserve">Identifier: TC_&lt;root&gt;_&lt;gr&gt;_&lt;sgr&gt;_&lt;nn&gt;_&lt;per&gt;</w:t>
            </w:r>
          </w:p>
        </w:tc>
      </w:tr>
      <w:tr>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jc w:val="left"/>
            </w:pPr>
            <w:r>
              <w:t xml:space="preserve">&lt;gr&gt; = group</w:t>
            </w:r>
          </w:p>
        </w:tc>
        <w:tc>
          <w:tcPr/>
          <w:p>
            <w:pPr>
              <w:pStyle w:val="Compact"/>
              <w:jc w:val="left"/>
            </w:pPr>
            <w:r>
              <w:t xml:space="preserve">CSE</w:t>
            </w:r>
            <w:r>
              <w:br/>
            </w:r>
            <w:r>
              <w:t xml:space="preserve">AE</w:t>
            </w:r>
          </w:p>
        </w:tc>
        <w:tc>
          <w:tcPr/>
          <w:p>
            <w:pPr>
              <w:pStyle w:val="Compact"/>
              <w:jc w:val="left"/>
            </w:pPr>
            <w:r>
              <w:t xml:space="preserve">CSE testing</w:t>
            </w:r>
            <w:r>
              <w:br/>
            </w:r>
            <w:r>
              <w:t xml:space="preserve">AE testing</w:t>
            </w:r>
          </w:p>
        </w:tc>
      </w:tr>
      <w:tr>
        <w:tc>
          <w:tcPr/>
          <w:p>
            <w:pPr>
              <w:pStyle w:val="Compact"/>
              <w:jc w:val="left"/>
            </w:pPr>
            <w:r>
              <w:t xml:space="preserve">&lt;sgr&gt; = subgroup</w:t>
            </w:r>
          </w:p>
        </w:tc>
        <w:tc>
          <w:tcPr/>
          <w:p>
            <w:pPr>
              <w:pStyle w:val="Compact"/>
              <w:jc w:val="left"/>
            </w:pPr>
            <w:r>
              <w:t xml:space="preserve">REG</w:t>
            </w:r>
            <w:r>
              <w:br/>
            </w:r>
            <w:r>
              <w:t xml:space="preserve">DMR</w:t>
            </w:r>
            <w:r>
              <w:br/>
            </w:r>
            <w:r>
              <w:t xml:space="preserve">SUB</w:t>
            </w:r>
            <w:r>
              <w:br/>
            </w:r>
            <w:r>
              <w:t xml:space="preserve">GMG</w:t>
            </w:r>
            <w:r>
              <w:br/>
            </w:r>
            <w:r>
              <w:t xml:space="preserve">DIS</w:t>
            </w:r>
            <w:r>
              <w:br/>
            </w:r>
            <w:r>
              <w:t xml:space="preserve">LOC</w:t>
            </w:r>
            <w:r>
              <w:br/>
            </w:r>
            <w:r>
              <w:t xml:space="preserve">DMG</w:t>
            </w:r>
            <w:r>
              <w:br/>
            </w:r>
            <w:r>
              <w:t xml:space="preserve">CMDH</w:t>
            </w:r>
            <w:r>
              <w:br/>
            </w:r>
            <w:r>
              <w:t xml:space="preserve">SEC</w:t>
            </w:r>
          </w:p>
        </w:tc>
        <w:tc>
          <w:tcPr/>
          <w:p>
            <w:pPr>
              <w:pStyle w:val="Compact"/>
              <w:jc w:val="left"/>
            </w:pPr>
            <w:r>
              <w:t xml:space="preserve">Registration</w:t>
            </w:r>
            <w:r>
              <w:br/>
            </w:r>
            <w:r>
              <w:t xml:space="preserve">Data Management and Repository</w:t>
            </w:r>
            <w:r>
              <w:br/>
            </w:r>
            <w:r>
              <w:t xml:space="preserve">Subscription and Notification</w:t>
            </w:r>
            <w:r>
              <w:br/>
            </w:r>
            <w:r>
              <w:t xml:space="preserve">Group Management</w:t>
            </w:r>
            <w:r>
              <w:br/>
            </w:r>
            <w:r>
              <w:t xml:space="preserve">Discovery</w:t>
            </w:r>
            <w:r>
              <w:br/>
            </w:r>
            <w:r>
              <w:t xml:space="preserve">Location</w:t>
            </w:r>
            <w:r>
              <w:br/>
            </w:r>
            <w:r>
              <w:t xml:space="preserve">Device Management</w:t>
            </w:r>
            <w:r>
              <w:br/>
            </w:r>
            <w:r>
              <w:t xml:space="preserve">Communication Management and Delivery Handling</w:t>
            </w:r>
            <w:r>
              <w:br/>
            </w:r>
            <w:r>
              <w:t xml:space="preserve">Security</w:t>
            </w:r>
          </w:p>
        </w:tc>
      </w:tr>
      <w:tr>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r>
        <w:tc>
          <w:tcPr>
            <w:gridSpan w:val="3"/>
          </w:tcPr>
          <w:p>
            <w:pPr>
              <w:pStyle w:val="Compact"/>
              <w:jc w:val="left"/>
            </w:pPr>
            <w:r>
              <w:rPr>
                <w:rStyle w:val="VerbatimChar"/>
              </w:rPr>
              <w:t xml:space="preserve">EXAMPLE:    TP identifier:    TP/oneM2M/CSE/DMR/CRE/001</w:t>
            </w:r>
            <w:r>
              <w:br/>
            </w:r>
            <w:r>
              <w:rPr>
                <w:rStyle w:val="VerbatimChar"/>
              </w:rPr>
              <w:t xml:space="preserve">TC identifier:    TC\_ONEM2M\_CSE\_DMR\_CRE\_001.</w:t>
            </w:r>
          </w:p>
        </w:tc>
      </w:tr>
    </w:tbl>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100" w:name="history"/>
    <w:p>
      <w:pPr>
        <w:pStyle w:val="Heading1"/>
      </w:pPr>
      <w:r>
        <w:t xml:space="preserve">History</w:t>
      </w:r>
    </w:p>
    <w:tbl>
      <w:tblPr>
        <w:tblStyle w:val="Table"/>
        <w:tblW w:type="pct" w:w="4943"/>
        <w:tblLayout w:type="fixed"/>
        <w:tblLook w:firstRow="1" w:lastRow="0" w:firstColumn="0" w:lastColumn="0" w:noHBand="0" w:noVBand="0" w:val="0020"/>
      </w:tblPr>
      <w:tblGrid>
        <w:gridCol w:w="728"/>
        <w:gridCol w:w="1092"/>
        <w:gridCol w:w="6008"/>
      </w:tblGrid>
      <w:tr>
        <w:trPr>
          <w:tblHeader w:val="on"/>
        </w:trPr>
        <w:tc>
          <w:tcPr>
            <w:gridSpan w:val="3"/>
          </w:tcPr>
          <w:p>
            <w:pPr>
              <w:pStyle w:val="Compact"/>
              <w:jc w:val="left"/>
            </w:pPr>
            <w:r>
              <w:rPr>
                <w:b/>
                <w:bCs/>
              </w:rPr>
              <w:t xml:space="preserve">Document history</w:t>
            </w:r>
          </w:p>
        </w:tc>
      </w:tr>
      <w:tr>
        <w:tc>
          <w:tcPr/>
          <w:p>
            <w:pPr>
              <w:pStyle w:val="Compact"/>
              <w:jc w:val="left"/>
            </w:pPr>
            <w:r>
              <w:t xml:space="preserve">V4.0.0</w:t>
            </w:r>
          </w:p>
        </w:tc>
        <w:tc>
          <w:tcPr/>
          <w:p>
            <w:pPr>
              <w:pStyle w:val="Compact"/>
              <w:jc w:val="left"/>
            </w:pPr>
            <w:r>
              <w:t xml:space="preserve">2022-05-09</w:t>
            </w:r>
          </w:p>
        </w:tc>
        <w:tc>
          <w:tcPr/>
          <w:p>
            <w:pPr>
              <w:pStyle w:val="Compact"/>
              <w:jc w:val="left"/>
            </w:pPr>
            <w:r>
              <w:t xml:space="preserve">Base document from TS-0019 v3.3.1</w:t>
            </w:r>
          </w:p>
        </w:tc>
      </w:tr>
      <w:tr>
        <w:tc>
          <w:tcPr/>
          <w:p>
            <w:pPr>
              <w:pStyle w:val="Compact"/>
              <w:jc w:val="left"/>
            </w:pPr>
            <w:r>
              <w:t xml:space="preserve">V4.1.0</w:t>
            </w:r>
          </w:p>
        </w:tc>
        <w:tc>
          <w:tcPr/>
          <w:p>
            <w:pPr>
              <w:pStyle w:val="Compact"/>
              <w:jc w:val="left"/>
            </w:pPr>
            <w:r>
              <w:t xml:space="preserve">2024-01-12</w:t>
            </w:r>
          </w:p>
        </w:tc>
        <w:tc>
          <w:tcPr/>
          <w:p>
            <w:pPr>
              <w:jc w:val="left"/>
            </w:pPr>
            <w:r>
              <w:t xml:space="preserve">Integrated approved contributions:</w:t>
            </w:r>
          </w:p>
          <w:p>
            <w:pPr>
              <w:pStyle w:val="Compact"/>
              <w:numPr>
                <w:ilvl w:val="0"/>
                <w:numId w:val="1032"/>
              </w:numPr>
              <w:jc w:val="left"/>
            </w:pPr>
            <w:r>
              <w:t xml:space="preserve">TDE-2023-0052-TS-0019-Adaptation_from_converted_version_R4</w:t>
            </w:r>
          </w:p>
        </w:tc>
      </w:tr>
      <w:tr>
        <w:tc>
          <w:tcPr/>
          <w:p>
            <w:pPr>
              <w:pStyle w:val="Compact"/>
              <w:jc w:val="left"/>
            </w:pPr>
            <w:r>
              <w:t xml:space="preserve">V4.1.1</w:t>
            </w:r>
          </w:p>
        </w:tc>
        <w:tc>
          <w:tcPr/>
          <w:p>
            <w:pPr>
              <w:pStyle w:val="Compact"/>
              <w:jc w:val="left"/>
            </w:pPr>
            <w:r>
              <w:t xml:space="preserve">2024-03-01</w:t>
            </w:r>
          </w:p>
        </w:tc>
        <w:tc>
          <w:tcPr/>
          <w:p>
            <w:pPr>
              <w:pStyle w:val="Compact"/>
              <w:jc w:val="left"/>
            </w:pPr>
            <w:r>
              <w:t xml:space="preserve">Editorial changes</w:t>
            </w:r>
          </w:p>
        </w:tc>
      </w:tr>
      <w:tr>
        <w:tc>
          <w:tcPr/>
          <w:p>
            <w:pPr>
              <w:pStyle w:val="Compact"/>
              <w:jc w:val="left"/>
            </w:pPr>
            <w:r>
              <w:t xml:space="preserve">V4.1.2</w:t>
            </w:r>
          </w:p>
        </w:tc>
        <w:tc>
          <w:tcPr/>
          <w:p>
            <w:pPr>
              <w:pStyle w:val="Compact"/>
              <w:jc w:val="left"/>
            </w:pPr>
            <w:r>
              <w:t xml:space="preserve">2025-02-10</w:t>
            </w:r>
          </w:p>
        </w:tc>
        <w:tc>
          <w:tcPr/>
          <w:p>
            <w:pPr>
              <w:pStyle w:val="Compact"/>
              <w:jc w:val="left"/>
            </w:pPr>
            <w:r>
              <w:t xml:space="preserve">Partners pre-processing done by</w:t>
            </w:r>
            <w:r>
              <w:t xml:space="preserve"> </w:t>
            </w:r>
            <w:r>
              <w:rPr>
                <w:b/>
                <w:bCs/>
                <w:i/>
                <w:iCs/>
              </w:rPr>
              <w:t xml:space="preserve">editHelp!</w:t>
            </w:r>
            <w:r>
              <w:br/>
            </w:r>
            <w:r>
              <w:t xml:space="preserve">e-mail:</w:t>
            </w:r>
            <w:r>
              <w:t xml:space="preserve"> </w:t>
            </w:r>
            <w:hyperlink r:id="rId99">
              <w:r>
                <w:rPr>
                  <w:rStyle w:val="Hyperlink"/>
                </w:rPr>
                <w:t xml:space="preserve">edithelp@etsi.org</w:t>
              </w:r>
            </w:hyperlink>
          </w:p>
        </w:tc>
      </w:tr>
      <w:tr>
        <w:tc>
          <w:tcPr/>
          <w:p>
            <w:pPr>
              <w:pStyle w:val="Compact"/>
            </w:pPr>
          </w:p>
        </w:tc>
        <w:tc>
          <w:tcPr/>
          <w:p>
            <w:pPr>
              <w:pStyle w:val="Compact"/>
            </w:pPr>
          </w:p>
        </w:tc>
        <w:tc>
          <w:tcPr/>
          <w:p>
            <w:pPr>
              <w:pStyle w:val="Compact"/>
            </w:pP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2025-02-11T06:21:21Z</dcterms:created>
  <dcterms:modified xsi:type="dcterms:W3CDTF">2025-02-11T06:21:21Z</dcterms:modified>
</cp:coreProperties>
</file>

<file path=docProps/custom.xml><?xml version="1.0" encoding="utf-8"?>
<Properties xmlns="http://schemas.openxmlformats.org/officeDocument/2006/custom-properties" xmlns:vt="http://schemas.openxmlformats.org/officeDocument/2006/docPropsVTypes"/>
</file>