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br/>
            </w:r>
            <w:r>
              <w:rPr>
                <w:b/>
                <w:bCs/>
              </w:rPr>
              <w:t xml:space="preserve">Specification</w:t>
            </w:r>
          </w:p>
        </w:tc>
      </w:tr>
      <w:tr>
        <w:tc>
          <w:tcPr/>
          <w:p>
            <w:pPr>
              <w:pStyle w:val="Compact"/>
              <w:jc w:val="left"/>
            </w:pPr>
            <w:r>
              <w:t xml:space="preserve">Document Number</w:t>
            </w:r>
          </w:p>
        </w:tc>
        <w:tc>
          <w:tcPr/>
          <w:p>
            <w:pPr>
              <w:pStyle w:val="Compact"/>
              <w:jc w:val="left"/>
            </w:pPr>
            <w:r>
              <w:t xml:space="preserve">oneM2M-TS-0019-V-4_2_0</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2024 March 1</w:t>
            </w:r>
          </w:p>
        </w:tc>
      </w:tr>
      <w:tr>
        <w:tc>
          <w:tcPr/>
          <w:p>
            <w:pPr>
              <w:pStyle w:val="Compact"/>
              <w:jc w:val="left"/>
            </w:pPr>
            <w:r>
              <w:t xml:space="preserve">Abstract:</w:t>
            </w:r>
          </w:p>
        </w:tc>
        <w:tc>
          <w:tcPr/>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3"/>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3"/>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3"/>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[7]</w:t>
      </w:r>
      <w:r>
        <w:t xml:space="preserve"> </w:t>
      </w:r>
      <w:r>
        <w:t xml:space="preserve">oneM2M TS-0018:</w:t>
      </w:r>
      <w:r>
        <w:t xml:space="preserve"> </w:t>
      </w:r>
      <w:r>
        <w:t xml:space="preserve">“Test Suite Structure and Test Purposes”</w:t>
      </w:r>
      <w:r>
        <w:t xml:space="preserve">.</w:t>
      </w:r>
    </w:p>
    <w:p>
      <w:pPr>
        <w:numPr>
          <w:ilvl w:val="0"/>
          <w:numId w:val="1003"/>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FirstParagraph"/>
      </w:pPr>
      <w:r>
        <w:t xml:space="preserve">Adding a grid table for testing</w:t>
      </w:r>
    </w:p>
    <w:p>
      <w:pPr>
        <w:pStyle w:val="TableCaption"/>
      </w:pPr>
      <w:r>
        <w:t xml:space="preserve">Table 5.4.1-1: Mapping of TTCN-3 Primitives to oneM2M Service Primitives</w:t>
      </w:r>
    </w:p>
    <w:tbl>
      <w:tblPr>
        <w:tblStyle w:val="Table"/>
        <w:tblW w:type="pct" w:w="4236"/>
        <w:tblLayout w:type="fixed"/>
        <w:tblLook w:firstRow="1" w:lastRow="0" w:firstColumn="0" w:lastColumn="0" w:noHBand="0" w:noVBand="0" w:val="0020"/>
        <w:tblCaption w:val="Table 5.4.1-1: Mapping of TTCN-3 Primitives to oneM2M Service Primitives"/>
      </w:tblPr>
      <w:tblGrid>
        <w:gridCol w:w="2530"/>
        <w:gridCol w:w="2200"/>
        <w:gridCol w:w="132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p>
      <w:pPr>
        <w:pStyle w:val="BodyText"/>
      </w:pPr>
      <w:r>
        <w:t xml:space="preserve">Adding some equations:</w:t>
      </w:r>
    </w:p>
    <w:p>
      <w:pPr>
        <w:pStyle w:val="BodyText"/>
      </w:pPr>
      <m:oMath>
        <m:d>
          <m:dPr>
            <m:begChr m:val="["/>
            <m:endChr m:val="]"/>
            <m:sepChr m:val=""/>
            <m:grow/>
          </m:dPr>
          <m:e>
            <m:nary>
              <m:naryPr>
                <m:chr m:val="∫"/>
                <m:limLoc m:val="subSup"/>
                <m:subHide m:val="off"/>
                <m:supHide m:val="off"/>
              </m:naryPr>
              <m:sub>
                <m:r>
                  <m:rPr>
                    <m:sty m:val="p"/>
                  </m:rPr>
                  <m:t>−</m:t>
                </m:r>
                <m:r>
                  <m:t>i</m:t>
                </m:r>
                <m:r>
                  <m:t>n</m:t>
                </m:r>
                <m:r>
                  <m:t>f</m:t>
                </m:r>
                <m:r>
                  <m:t>t</m:t>
                </m:r>
                <m:r>
                  <m:t>y</m:t>
                </m:r>
              </m:sub>
              <m:sup>
                <m:r>
                  <m:rPr>
                    <m:sty m:val="p"/>
                  </m:rPr>
                  <m:t>∞</m:t>
                </m:r>
              </m:sup>
              <m:e>
                <m:r>
                  <m:t>f</m:t>
                </m:r>
              </m:e>
            </m:nary>
            <m:d>
              <m:dPr>
                <m:begChr m:val="("/>
                <m:endChr m:val=")"/>
                <m:sepChr m:val=""/>
                <m:grow/>
              </m:dPr>
              <m:e>
                <m:r>
                  <m:t>x</m:t>
                </m:r>
              </m:e>
            </m:d>
            <m:r>
              <m:t> </m:t>
            </m:r>
            <m:r>
              <m:t>d</m:t>
            </m:r>
            <m:r>
              <m:t>x</m:t>
            </m:r>
          </m:e>
        </m:d>
      </m:oMath>
    </w:p>
    <w:p>
      <w:pPr>
        <w:pStyle w:val="BodyText"/>
      </w:pPr>
      <m:oMath>
        <m:r>
          <m:rPr>
            <m:sty m:val="p"/>
          </m:rPr>
          <m:t>log</m:t>
        </m:r>
        <m:d>
          <m:dPr>
            <m:begChr m:val="("/>
            <m:endChr m:val=")"/>
            <m:sepChr m:val=""/>
            <m:grow/>
          </m:dPr>
          <m:e>
            <m:r>
              <m:t>x</m:t>
            </m:r>
          </m:e>
        </m:d>
      </m:oMath>
    </w:p>
    <w:p>
      <w:pPr>
        <w:pStyle w:val="BodyText"/>
      </w:pPr>
      <m:oMath>
        <m:sSub>
          <m:e>
            <m:r>
              <m:rPr>
                <m:sty m:val="p"/>
              </m:rPr>
              <m:t>lim</m:t>
            </m:r>
          </m:e>
          <m:sub>
            <m:r>
              <m:t>x</m:t>
            </m:r>
            <m:r>
              <m:rPr>
                <m:sty m:val="p"/>
              </m:rPr>
              <m:t>→</m:t>
            </m:r>
            <m:r>
              <m:rPr>
                <m:sty m:val="p"/>
              </m:rPr>
              <m:t>∞</m:t>
            </m:r>
          </m:sub>
        </m:sSub>
        <m:r>
          <m:t>f</m:t>
        </m:r>
        <m:d>
          <m:dPr>
            <m:begChr m:val="("/>
            <m:endChr m:val=")"/>
            <m:sepChr m:val=""/>
            <m:grow/>
          </m:dPr>
          <m:e>
            <m:r>
              <m:t>x</m:t>
            </m:r>
          </m:e>
        </m:d>
      </m:oMath>
    </w:p>
    <w:p>
      <w:pPr>
        <w:pStyle w:val="BodyText"/>
      </w:pPr>
      <m:oMath>
        <m:f>
          <m:fPr>
            <m:type m:val="bar"/>
          </m:fPr>
          <m:num>
            <m:r>
              <m:rPr>
                <m:sty m:val="p"/>
              </m:rPr>
              <m:t>∂</m:t>
            </m:r>
            <m:r>
              <m:t>f</m:t>
            </m:r>
          </m:num>
          <m:den>
            <m:r>
              <m:rPr>
                <m:sty m:val="p"/>
              </m:rPr>
              <m:t>∂</m:t>
            </m:r>
            <m:r>
              <m:t>x</m:t>
            </m:r>
          </m:den>
        </m:f>
      </m:oMath>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4955"/>
        <w:tblLayout w:type="fixed"/>
        <w:tblLook w:firstRow="1" w:lastRow="0" w:firstColumn="0" w:lastColumn="0" w:noHBand="0" w:noVBand="0" w:val="0020"/>
        <w:tblCaption w:val="Table 5.4.4.2.2-3: Definition of ResponseStatusCode for UtTriggerAck primitive"/>
      </w:tblPr>
      <w:tblGrid>
        <w:gridCol w:w="2425"/>
        <w:gridCol w:w="1997"/>
        <w:gridCol w:w="3424"/>
      </w:tblGrid>
      <w:tr>
        <w:trPr>
          <w:tblHeader w:val="on"/>
        </w:trPr>
        <w:tc>
          <w:tcPr/>
          <w:p>
            <w:pPr>
              <w:pStyle w:val="Compact"/>
              <w:jc w:val="left"/>
            </w:pPr>
            <w:r>
              <w:t xml:space="preserve">Response Status Code Description</w:t>
            </w:r>
          </w:p>
        </w:tc>
        <w:tc>
          <w:tcPr/>
          <w:p>
            <w:pPr>
              <w:pStyle w:val="Compact"/>
              <w:jc w:val="left"/>
            </w:pPr>
            <w:r>
              <w:t xml:space="preserve">Response Status 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w:t>
            </w:r>
            <w:r>
              <w:t xml:space="preserve"> </w:t>
            </w:r>
            <w:r>
              <w:t xml:space="preserve">UtTrigger primitive</w:t>
            </w:r>
          </w:p>
        </w:tc>
      </w:tr>
      <w:tr>
        <w:tc>
          <w:tcPr>
            <w:gridSpan w:val="3"/>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4"/>
        </w:numPr>
      </w:pPr>
      <w:r>
        <w:t xml:space="preserve">Step 1) initialization of the master PTC.</w:t>
      </w:r>
    </w:p>
    <w:p>
      <w:pPr>
        <w:numPr>
          <w:ilvl w:val="0"/>
          <w:numId w:val="1024"/>
        </w:numPr>
      </w:pPr>
      <w:r>
        <w:t xml:space="preserve">Step 2) initialization of some parameters if required for the permutation test cases.</w:t>
      </w:r>
    </w:p>
    <w:p>
      <w:pPr>
        <w:numPr>
          <w:ilvl w:val="0"/>
          <w:numId w:val="1024"/>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5"/>
        </w:numPr>
      </w:pPr>
      <w:r>
        <w:t xml:space="preserve">Local Variables, declaration of local variables.</w:t>
      </w:r>
    </w:p>
    <w:p>
      <w:pPr>
        <w:pStyle w:val="Compact"/>
        <w:numPr>
          <w:ilvl w:val="1"/>
          <w:numId w:val="1025"/>
        </w:numPr>
      </w:pPr>
      <w:r>
        <w:t xml:space="preserve">Test Control, checking IUT capability parameters required for the proper execution of the test.</w:t>
      </w:r>
    </w:p>
    <w:p>
      <w:pPr>
        <w:pStyle w:val="Compact"/>
        <w:numPr>
          <w:ilvl w:val="1"/>
          <w:numId w:val="1025"/>
        </w:numPr>
      </w:pPr>
      <w:r>
        <w:t xml:space="preserve">Test Component Configuration, that initializes the given test component and other test components acting as slave PTC(s) as required by a given configuration.</w:t>
      </w:r>
    </w:p>
    <w:p>
      <w:pPr>
        <w:pStyle w:val="Compact"/>
        <w:numPr>
          <w:ilvl w:val="1"/>
          <w:numId w:val="1025"/>
        </w:numPr>
      </w:pPr>
      <w:r>
        <w:t xml:space="preserve">Test adapter configuration, that configures the test adapter throw the acPort if required.</w:t>
      </w:r>
    </w:p>
    <w:p>
      <w:pPr>
        <w:pStyle w:val="Compact"/>
        <w:numPr>
          <w:ilvl w:val="1"/>
          <w:numId w:val="1025"/>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5"/>
        </w:numPr>
      </w:pPr>
      <w:r>
        <w:t xml:space="preserve">Test body, that implements the test steps as described in the Expected behaviour of a Test Purpose.</w:t>
      </w:r>
    </w:p>
    <w:p>
      <w:pPr>
        <w:pStyle w:val="Compact"/>
        <w:numPr>
          <w:ilvl w:val="1"/>
          <w:numId w:val="1025"/>
        </w:numPr>
      </w:pPr>
      <w:r>
        <w:t xml:space="preserve">Postamble, that implements the necessary test steps to bring the IUT back to the initial state.</w:t>
      </w:r>
    </w:p>
    <w:p>
      <w:pPr>
        <w:pStyle w:val="Compact"/>
        <w:numPr>
          <w:ilvl w:val="1"/>
          <w:numId w:val="1025"/>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6"/>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7"/>
        </w:numPr>
      </w:pPr>
      <w:r>
        <w:t xml:space="preserve">in most cases, identifiers should be prefixed with a short alphabetic string (specified in table 7.2.1-1) indicating the type of TTCN3 element it represents;</w:t>
      </w:r>
    </w:p>
    <w:p>
      <w:pPr>
        <w:pStyle w:val="Compact"/>
        <w:numPr>
          <w:ilvl w:val="0"/>
          <w:numId w:val="1027"/>
        </w:numPr>
      </w:pPr>
      <w:r>
        <w:t xml:space="preserve">suffixes should not be used except in those specific cases identified in table 7.2.1-1;</w:t>
      </w:r>
    </w:p>
    <w:p>
      <w:pPr>
        <w:pStyle w:val="Compact"/>
        <w:numPr>
          <w:ilvl w:val="0"/>
          <w:numId w:val="1027"/>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8"/>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8"/>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9"/>
        </w:numPr>
      </w:pPr>
      <w:r>
        <w:t xml:space="preserve">The TTCN-3 test case or function identifier in which the log statement is defined.</w:t>
      </w:r>
    </w:p>
    <w:p>
      <w:pPr>
        <w:pStyle w:val="Compact"/>
        <w:numPr>
          <w:ilvl w:val="0"/>
          <w:numId w:val="1029"/>
        </w:numPr>
      </w:pPr>
      <w:r>
        <w:t xml:space="preserve">One of the categories of log: INFO, WARNING, ERROR, TIMEOUT, NONE.</w:t>
      </w:r>
    </w:p>
    <w:p>
      <w:pPr>
        <w:pStyle w:val="Compact"/>
        <w:numPr>
          <w:ilvl w:val="0"/>
          <w:numId w:val="1029"/>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0"/>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2025-03-31T06:41:56Z</dcterms:created>
  <dcterms:modified xsi:type="dcterms:W3CDTF">2025-03-31T06:41:56Z</dcterms:modified>
</cp:coreProperties>
</file>

<file path=docProps/custom.xml><?xml version="1.0" encoding="utf-8"?>
<Properties xmlns="http://schemas.openxmlformats.org/officeDocument/2006/custom-properties" xmlns:vt="http://schemas.openxmlformats.org/officeDocument/2006/docPropsVTypes"/>
</file>