
<file path=[Content_Types].xml><?xml version="1.0" encoding="utf-8"?>
<Types xmlns="http://schemas.openxmlformats.org/package/2006/content-types">
  <Default Extension="xml" ContentType="application/xml"/>
  <Default Extension="rels" ContentType="application/vnd.openxmlformats-package.relationships+xml"/>
  <Default Extension="odttf" ContentType="application/vnd.openxmlformats-officedocument.obfuscatedFont"/>
  <Override PartName="/word/webSettings.xml" ContentType="application/vnd.openxmlformats-officedocument.wordprocessingml.webSettings+xml"/>
  <Override PartName="/word/numbering.xml" ContentType="application/vnd.openxmlformats-officedocument.wordprocessingml.numbering+xml"/>
  <Override PartName="/word/settings.xml" ContentType="application/vnd.openxmlformats-officedocument.wordprocessingml.settings+xml"/>
  <Override PartName="/word/theme/theme1.xml" ContentType="application/vnd.openxmlformats-officedocument.theme+xml"/>
  <Override PartName="/word/fontTable.xml" ContentType="application/vnd.openxmlformats-officedocument.wordprocessingml.fontTable+xml"/>
  <Override PartName="/docProps/app.xml" ContentType="application/vnd.openxmlformats-officedocument.extended-properties+xml"/>
  <Override PartName="/docProps/core.xml" ContentType="application/vnd.openxmlformats-package.core-properties+xml"/>
  <Override PartName="/docProps/custom.xml" ContentType="application/vnd.openxmlformats-officedocument.custom-properties+xml"/>
  <Override PartName="/word/styles.xml" ContentType="application/vnd.openxmlformats-officedocument.wordprocessingml.styles+xml"/>
  <Override PartName="/word/document.xml" ContentType="application/vnd.openxmlformats-officedocument.wordprocessingml.document.main+xml"/>
  <Override PartName="/word/comments.xml" ContentType="application/vnd.openxmlformats-officedocument.wordprocessingml.comments+xml"/>
  <Override PartName="/word/footnotes.xml" ContentType="application/vnd.openxmlformats-officedocument.wordprocessingml.footnotes+xml"/>
  <Override PartName="/word/header1.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media/rId33.png" ContentType="image/png"/>
  <Override PartName="/word/media/rId40.png" ContentType="image/png"/>
  <Override PartName="/word/media/rId48.png" ContentType="image/png"/>
  <Override PartName="/word/media/rId51.png" ContentType="image/png"/>
  <Override PartName="/word/media/rId55.png" ContentType="image/png"/>
  <Override PartName="/word/media/rId79.png" ContentType="image/png"/>
  <Override PartName="/word/media/rId83.png" ContentType="image/png"/>
  <Override PartName="/word/media/rId60.png" ContentType="image/png"/>
  <Override PartName="/word/media/rId64.png" ContentType="image/png"/>
  <Override PartName="/word/media/rId69.png" ContentType="image/png"/>
  <Override PartName="/word/media/rId73.png" ContentType="image/png"/>
  <Override PartName="/word/media/rId76.png" ContentType="image/png"/>
  <Override PartName="/word/media/rId44.png" ContentType="image/png"/>
  <Override PartName="/word/media/rId36.jpg" ContentType="image/jpeg"/>
  <Override PartName="/word/media/rId20.png" ContentType="image/png"/>
  <Override PartName="/word/media/image1.png" ContentType="image/png"/>
  <Override PartName="/word/media/image2.png" ContentType="image/png"/>
  <Override PartName="/word/media/image4.png" ContentType="image/png"/>
  <Override PartName="/word/media/image3.png" ContentType="image/png"/>
  <Override PartName="/word/media/image5.png" ContentType="image/png"/>
  <Override PartName="/word/media/image6.emf" ContentType="image/x-emf"/>
  <Override PartName="/word/media/image7.png" ContentType="image/png"/>
  <Override PartName="/word/media/image8.emf" ContentType="image/x-emf"/>
  <Override PartName="/word/media/image10.emf" ContentType="image/x-emf"/>
  <Override PartName="/word/media/image9.emf" ContentType="image/x-emf"/>
</Types>
</file>

<file path=_rels/.rels><?xml version="1.0" encoding="UTF-8"?><Relationships xmlns="http://schemas.openxmlformats.org/package/2006/relationships"><Relationship Id="rId1" Type="http://schemas.openxmlformats.org/officeDocument/2006/relationships/officeDocument" Target="word/document.xml" /><Relationship Id="rId4" Type="http://schemas.openxmlformats.org/officeDocument/2006/relationships/extended-properties" Target="docProps/app.xml" /><Relationship Id="rId3" Type="http://schemas.openxmlformats.org/package/2006/relationships/metadata/core-properties" Target="docProps/core.xml" /><Relationship Id="rId5" Type="http://schemas.openxmlformats.org/officeDocument/2006/relationships/custom-properties" Target="docProps/custom.xml" /></Relationships>
</file>

<file path=word/document.xml><?xml version="1.0" encoding="utf-8"?>
<w:document xmlns:w="http://schemas.openxmlformats.org/wordprocessingml/2006/main" xmlns:m="http://schemas.openxmlformats.org/officeDocument/2006/math" xmlns:r="http://schemas.openxmlformats.org/officeDocument/2006/relationships" xmlns:o="urn:schemas-microsoft-com:office:office" xmlns:v="urn:schemas-microsoft-com:vml" xmlns:w10="urn:schemas-microsoft-com:office:word" xmlns:a="http://schemas.openxmlformats.org/drawingml/2006/main" xmlns:pic="http://schemas.openxmlformats.org/drawingml/2006/picture" xmlns:wp="http://schemas.openxmlformats.org/drawingml/2006/wordprocessingDrawing">
  <w:body>
    <w:p>
      <w:pPr>
        <w:pStyle w:val="FirstParagraph"/>
      </w:pPr>
      <w:r>
        <w:drawing>
          <wp:inline>
            <wp:extent cx="4876800" cy="3327400"/>
            <wp:effectExtent b="0" l="0" r="0" t="0"/>
            <wp:docPr descr="" title="" id="21" name="Picture"/>
            <a:graphic>
              <a:graphicData uri="http://schemas.openxmlformats.org/drawingml/2006/picture">
                <pic:pic>
                  <pic:nvPicPr>
                    <pic:cNvPr descr="media/image1.png" id="22" name="Picture"/>
                    <pic:cNvPicPr>
                      <a:picLocks noChangeArrowheads="1" noChangeAspect="1"/>
                    </pic:cNvPicPr>
                  </pic:nvPicPr>
                  <pic:blipFill>
                    <a:blip r:embed="rId20"/>
                    <a:stretch>
                      <a:fillRect/>
                    </a:stretch>
                  </pic:blipFill>
                  <pic:spPr bwMode="auto">
                    <a:xfrm>
                      <a:off x="0" y="0"/>
                      <a:ext cx="4876800" cy="3327400"/>
                    </a:xfrm>
                    <a:prstGeom prst="rect">
                      <a:avLst/>
                    </a:prstGeom>
                    <a:noFill/>
                    <a:ln w="9525">
                      <a:noFill/>
                      <a:headEnd/>
                      <a:tailEnd/>
                    </a:ln>
                  </pic:spPr>
                </pic:pic>
              </a:graphicData>
            </a:graphic>
          </wp:inline>
        </w:drawing>
      </w:r>
    </w:p>
    <w:tbl>
      <w:tblPr>
        <w:tblStyle w:val="Table"/>
        <w:tblW w:type="pct" w:w="5000"/>
        <w:tblLayout w:type="fixed"/>
        <w:tblLook w:firstRow="1" w:lastRow="0" w:firstColumn="0" w:lastColumn="0" w:noHBand="0" w:noVBand="0" w:val="0020"/>
      </w:tblPr>
      <w:tblGrid>
        <w:gridCol w:w="3960"/>
        <w:gridCol w:w="3960"/>
      </w:tblGrid>
      <w:tr>
        <w:trPr>
          <w:tblHeader w:val="on"/>
        </w:trPr>
        <w:tc>
          <w:tcPr/>
          <w:p>
            <w:pPr>
              <w:pStyle w:val="Compact"/>
            </w:pPr>
            <w:r>
              <w:t xml:space="preserve">oneM2M</w:t>
            </w:r>
            <w:r>
              <w:br/>
            </w:r>
            <w:r>
              <w:t xml:space="preserve">Technical Specification</w:t>
            </w:r>
          </w:p>
        </w:tc>
        <w:tc>
          <w:tcPr/>
          <w:p>
            <w:pPr>
              <w:pStyle w:val="Compact"/>
            </w:pPr>
            <w:r>
              <w:t xml:space="preserve">oneM2M</w:t>
            </w:r>
            <w:r>
              <w:br/>
            </w:r>
            <w:r>
              <w:t xml:space="preserve">Technical Specification</w:t>
            </w:r>
          </w:p>
        </w:tc>
      </w:tr>
      <w:tr>
        <w:tc>
          <w:tcPr/>
          <w:p>
            <w:pPr>
              <w:pStyle w:val="Compact"/>
            </w:pPr>
            <w:r>
              <w:t xml:space="preserve">Document Number</w:t>
            </w:r>
          </w:p>
        </w:tc>
        <w:tc>
          <w:tcPr/>
          <w:p>
            <w:pPr>
              <w:pStyle w:val="Compact"/>
            </w:pPr>
            <w:r>
              <w:t xml:space="preserve">TS-0041-V-5.3.0</w:t>
            </w:r>
          </w:p>
        </w:tc>
      </w:tr>
      <w:tr>
        <w:tc>
          <w:tcPr/>
          <w:p>
            <w:pPr>
              <w:pStyle w:val="Compact"/>
            </w:pPr>
            <w:r>
              <w:t xml:space="preserve">Document Name:</w:t>
            </w:r>
          </w:p>
        </w:tc>
        <w:tc>
          <w:tcPr/>
          <w:p>
            <w:pPr>
              <w:pStyle w:val="Compact"/>
            </w:pPr>
            <w:r>
              <w:t xml:space="preserve">oneM2M-SensorThings Interworking\</w:t>
            </w:r>
          </w:p>
        </w:tc>
      </w:tr>
      <w:tr>
        <w:tc>
          <w:tcPr/>
          <w:p>
            <w:pPr>
              <w:pStyle w:val="Compact"/>
            </w:pPr>
            <w:r>
              <w:t xml:space="preserve">Date:</w:t>
            </w:r>
          </w:p>
        </w:tc>
        <w:tc>
          <w:tcPr/>
          <w:p>
            <w:pPr>
              <w:pStyle w:val="Compact"/>
            </w:pPr>
            <w:r>
              <w:t xml:space="preserve">2025-04-04</w:t>
            </w:r>
          </w:p>
        </w:tc>
      </w:tr>
      <w:tr>
        <w:tc>
          <w:tcPr/>
          <w:p>
            <w:pPr>
              <w:pStyle w:val="Compact"/>
            </w:pPr>
            <w:r>
              <w:t xml:space="preserve">Abstract:</w:t>
            </w:r>
          </w:p>
        </w:tc>
        <w:tc>
          <w:tcPr/>
          <w:p>
            <w:pPr>
              <w:pStyle w:val="Compact"/>
            </w:pPr>
            <w:r>
              <w:t xml:space="preserve">&lt; An abstract of the specification and information that may be used in subsequent electronic searches&gt;</w:t>
            </w:r>
          </w:p>
        </w:tc>
      </w:tr>
      <w:tr>
        <w:tc>
          <w:tcPr/>
          <w:p>
            <w:pPr>
              <w:pStyle w:val="Compact"/>
            </w:pPr>
            <w:r>
              <w:t xml:space="preserve">Template Version:</w:t>
            </w:r>
          </w:p>
        </w:tc>
        <w:tc>
          <w:tcPr/>
          <w:p>
            <w:pPr>
              <w:pStyle w:val="Compact"/>
            </w:pPr>
            <w:r>
              <w:t xml:space="preserve">January 2020 (do not modify)</w:t>
            </w:r>
          </w:p>
        </w:tc>
      </w:tr>
    </w:tbl>
    <w:p>
      <w:pPr>
        <w:pStyle w:val="BodyText"/>
      </w:pPr>
      <w:r>
        <w:t xml:space="preserve">The present document is provided for future development work within oneM2M only. The Partners accept no liability for any use of this specification.</w:t>
      </w:r>
    </w:p>
    <w:p>
      <w:pPr>
        <w:pStyle w:val="BodyText"/>
      </w:pPr>
      <w:r>
        <w:t xml:space="preserve">The present document has not been subject to any approval process by the oneM2M Partners Type 1. Published oneM2M specifications and reports for implementation should be obtained via the oneM2M Partners’ Publications Offices.</w:t>
      </w:r>
    </w:p>
    <w:p>
      <w:pPr>
        <w:pStyle w:val="BodyText"/>
      </w:pPr>
      <w:r>
        <w:br/>
      </w:r>
      <w:r>
        <w:t xml:space="preserve">About oneM2M</w:t>
      </w:r>
    </w:p>
    <w:p>
      <w:pPr>
        <w:pStyle w:val="BodyText"/>
      </w:pPr>
      <w:r>
        <w:t xml:space="preserve">The purpose and goal of oneM2M is to develop technical specifications which address the need for a common M2M Service Layer that can be readily embedded within various hardware and software, and relied upon to connect the myriad of devices in the field with M2M application servers worldwide.</w:t>
      </w:r>
    </w:p>
    <w:p>
      <w:pPr>
        <w:pStyle w:val="BodyText"/>
      </w:pPr>
      <w:r>
        <w:t xml:space="preserve">More information about oneM2M may be found at: http//www.oneM2M.org</w:t>
      </w:r>
    </w:p>
    <w:p>
      <w:pPr>
        <w:pStyle w:val="BodyText"/>
      </w:pPr>
      <w:r>
        <w:t xml:space="preserve">Copyright Notification</w:t>
      </w:r>
    </w:p>
    <w:p>
      <w:pPr>
        <w:pStyle w:val="Compact"/>
        <w:numPr>
          <w:ilvl w:val="0"/>
          <w:numId w:val="1001"/>
        </w:numPr>
      </w:pPr>
      <w:r>
        <w:t xml:space="preserve">2024, oneM2M Partners Type 1 (ARIB, ATIS, CCSA, ETSI, TIA, TSDSI, TTA, TTC).</w:t>
      </w:r>
    </w:p>
    <w:p>
      <w:pPr>
        <w:pStyle w:val="FirstParagraph"/>
      </w:pPr>
      <w:r>
        <w:t xml:space="preserve">All rights reserved.</w:t>
      </w:r>
    </w:p>
    <w:p>
      <w:pPr>
        <w:pStyle w:val="BodyText"/>
      </w:pPr>
      <w:r>
        <w:t xml:space="preserve">The copyright extends to reproduction in all media.</w:t>
      </w:r>
    </w:p>
    <w:p>
      <w:pPr>
        <w:pStyle w:val="BodyText"/>
      </w:pPr>
      <w:r>
        <w:t xml:space="preserve">Notice of Disclaimer &amp; Limitation of Liability</w:t>
      </w:r>
    </w:p>
    <w:p>
      <w:pPr>
        <w:pStyle w:val="BodyText"/>
      </w:pPr>
      <w:r>
        <w:t xml:space="preserve">The information provided in this document is directed solely to professionals who have the appropriate degree of experience to understand and interpret its contents in accordance with generally accepted engineering or other professional standards and applicable regulations. No recommendation as to products or vendors is made or should be implied.</w:t>
      </w:r>
    </w:p>
    <w:p>
      <w:pPr>
        <w:pStyle w:val="BodyText"/>
      </w:pPr>
      <w:r>
        <w:t xml:space="preserve">NO REPRESENTATION OR WARRANTY IS MADE THAT THE INFORMATION IS TECHNICALLY ACCURATE OR SUFFICIENT OR CONFORMS TO ANY STATUTE, GOVERNMENTAL RULE OR REGULATION, AND FURTHER, NO REPRESENTATION OR WARRANTY IS MADE OF MERCHANTABILITY OR FITNESS FOR ANY PARTICULAR PURPOSE OR AGAINST INFRINGEMENT OF INTELLECTUAL PROPERTY RIGHTS. NO oneM2M PARTNER TYPE 1 SHALL BE LIABLE, BEYOND THE AMOUNT OF ANY SUM RECEIVED IN PAYMENT BY THAT PARTNER FOR THIS DOCUMENT, WITH RESPECT TO ANY CLAIM, AND IN NO EVENT SHALL oneM2M BE LIABLE FOR LOST PROFITS OR OTHER INCIDENTAL OR CONSEQUENTIAL DAMAGES. oneM2M EXPRESSLY ADVISES ANY AND ALL USE OF OR RELIANCE UPON THIS INFORMATION PROVIDED IN THIS DOCUMENT IS AT THE RISK OF THE USER.</w:t>
      </w:r>
    </w:p>
    <w:bookmarkStart w:id="23" w:name="contents"/>
    <w:p>
      <w:pPr>
        <w:pStyle w:val="Heading1"/>
      </w:pPr>
      <w:r>
        <w:t xml:space="preserve">Contents</w:t>
      </w:r>
    </w:p>
    <w:p>
      <w:pPr>
        <w:pStyle w:val="FirstParagraph"/>
      </w:pPr>
      <w:hyperlink w:anchor="scope">
        <w:r>
          <w:rPr>
            <w:rStyle w:val="Hyperlink"/>
          </w:rPr>
          <w:t xml:space="preserve">1 Scope</w:t>
        </w:r>
      </w:hyperlink>
      <w:r>
        <w:br/>
      </w:r>
      <w:hyperlink w:anchor="references">
        <w:r>
          <w:rPr>
            <w:rStyle w:val="Hyperlink"/>
          </w:rPr>
          <w:t xml:space="preserve">2 References</w:t>
        </w:r>
      </w:hyperlink>
      <w:r>
        <w:br/>
      </w:r>
      <w:r>
        <w:t xml:space="preserve">    </w:t>
      </w:r>
      <w:hyperlink w:anchor="normative-references">
        <w:r>
          <w:rPr>
            <w:rStyle w:val="Hyperlink"/>
          </w:rPr>
          <w:t xml:space="preserve">2.1 Normative references</w:t>
        </w:r>
      </w:hyperlink>
      <w:r>
        <w:br/>
      </w:r>
      <w:r>
        <w:t xml:space="preserve">    </w:t>
      </w:r>
      <w:hyperlink w:anchor="informative-references">
        <w:r>
          <w:rPr>
            <w:rStyle w:val="Hyperlink"/>
          </w:rPr>
          <w:t xml:space="preserve">2.2 Informative references</w:t>
        </w:r>
      </w:hyperlink>
      <w:r>
        <w:br/>
      </w:r>
      <w:hyperlink w:anchor="Xe254da9c2f303321d6c9a4dcbd53386c9eebb59">
        <w:r>
          <w:rPr>
            <w:rStyle w:val="Hyperlink"/>
          </w:rPr>
          <w:t xml:space="preserve">3 Definition of terms, symbols and abbreviations</w:t>
        </w:r>
      </w:hyperlink>
      <w:r>
        <w:br/>
      </w:r>
      <w:r>
        <w:t xml:space="preserve">    </w:t>
      </w:r>
      <w:hyperlink w:anchor="terms">
        <w:r>
          <w:rPr>
            <w:rStyle w:val="Hyperlink"/>
          </w:rPr>
          <w:t xml:space="preserve">3.1 Terms</w:t>
        </w:r>
      </w:hyperlink>
      <w:r>
        <w:br/>
      </w:r>
      <w:r>
        <w:t xml:space="preserve">    </w:t>
      </w:r>
      <w:hyperlink w:anchor="symbols">
        <w:r>
          <w:rPr>
            <w:rStyle w:val="Hyperlink"/>
          </w:rPr>
          <w:t xml:space="preserve">3.2 Symbols</w:t>
        </w:r>
      </w:hyperlink>
      <w:r>
        <w:br/>
      </w:r>
      <w:r>
        <w:t xml:space="preserve">    </w:t>
      </w:r>
      <w:hyperlink w:anchor="abbreviations">
        <w:r>
          <w:rPr>
            <w:rStyle w:val="Hyperlink"/>
          </w:rPr>
          <w:t xml:space="preserve">3.3 Abbreviations</w:t>
        </w:r>
      </w:hyperlink>
      <w:r>
        <w:br/>
      </w:r>
      <w:hyperlink w:anchor="conventions">
        <w:r>
          <w:rPr>
            <w:rStyle w:val="Hyperlink"/>
          </w:rPr>
          <w:t xml:space="preserve">4 Conventions</w:t>
        </w:r>
      </w:hyperlink>
      <w:r>
        <w:br/>
      </w:r>
      <w:hyperlink w:anchor="introduction-to-ogc-sensorthings-api">
        <w:r>
          <w:rPr>
            <w:rStyle w:val="Hyperlink"/>
          </w:rPr>
          <w:t xml:space="preserve">5 Introduction to OGC SensorThings API</w:t>
        </w:r>
      </w:hyperlink>
      <w:r>
        <w:br/>
      </w:r>
      <w:hyperlink w:anchor="X5abb80ab801ecd6d30d47e6986a4a41afff489a">
        <w:r>
          <w:rPr>
            <w:rStyle w:val="Hyperlink"/>
          </w:rPr>
          <w:t xml:space="preserve">6 Architecture Model of OGC/STA to oneM2M interworking</w:t>
        </w:r>
      </w:hyperlink>
      <w:r>
        <w:br/>
      </w:r>
      <w:r>
        <w:t xml:space="preserve">    </w:t>
      </w:r>
      <w:hyperlink w:anchor="overview">
        <w:r>
          <w:rPr>
            <w:rStyle w:val="Hyperlink"/>
          </w:rPr>
          <w:t xml:space="preserve">6.0 Overview</w:t>
        </w:r>
      </w:hyperlink>
      <w:r>
        <w:br/>
      </w:r>
      <w:r>
        <w:t xml:space="preserve">    </w:t>
      </w:r>
      <w:hyperlink w:anchor="ogcsta-to-onem2m-data-model-mapping">
        <w:r>
          <w:rPr>
            <w:rStyle w:val="Hyperlink"/>
          </w:rPr>
          <w:t xml:space="preserve">6.1 OGC/STA-to-oneM2M Data Model Mapping</w:t>
        </w:r>
      </w:hyperlink>
      <w:r>
        <w:br/>
      </w:r>
      <w:r>
        <w:t xml:space="preserve">    </w:t>
      </w:r>
      <w:hyperlink w:anchor="communication-flow">
        <w:r>
          <w:rPr>
            <w:rStyle w:val="Hyperlink"/>
          </w:rPr>
          <w:t xml:space="preserve">6.2 Communication Flow</w:t>
        </w:r>
      </w:hyperlink>
      <w:r>
        <w:br/>
      </w:r>
      <w:r>
        <w:t xml:space="preserve">    </w:t>
      </w:r>
      <w:hyperlink w:anchor="configuration-aspects">
        <w:r>
          <w:rPr>
            <w:rStyle w:val="Hyperlink"/>
          </w:rPr>
          <w:t xml:space="preserve">6.3 Configuration Aspects</w:t>
        </w:r>
      </w:hyperlink>
      <w:r>
        <w:br/>
      </w:r>
      <w:r>
        <w:t xml:space="preserve">        </w:t>
      </w:r>
      <w:hyperlink w:anchor="introduction">
        <w:r>
          <w:rPr>
            <w:rStyle w:val="Hyperlink"/>
          </w:rPr>
          <w:t xml:space="preserve">6.3.0 Introduction</w:t>
        </w:r>
      </w:hyperlink>
      <w:r>
        <w:br/>
      </w:r>
      <w:r>
        <w:t xml:space="preserve">        </w:t>
      </w:r>
      <w:hyperlink w:anchor="configuration-of-ogcsta-server-side">
        <w:r>
          <w:rPr>
            <w:rStyle w:val="Hyperlink"/>
          </w:rPr>
          <w:t xml:space="preserve">6.3.1 Configuration of OGC/STA Server Side</w:t>
        </w:r>
      </w:hyperlink>
      <w:r>
        <w:br/>
      </w:r>
      <w:r>
        <w:t xml:space="preserve">            </w:t>
      </w:r>
      <w:hyperlink w:anchor="overview-1">
        <w:r>
          <w:rPr>
            <w:rStyle w:val="Hyperlink"/>
          </w:rPr>
          <w:t xml:space="preserve">6.3.1.0 Overview</w:t>
        </w:r>
      </w:hyperlink>
      <w:r>
        <w:br/>
      </w:r>
      <w:r>
        <w:t xml:space="preserve">            </w:t>
      </w:r>
      <w:hyperlink w:anchor="Xbc3b2d3f17d15cef8ccf6a46767561e165ad0d0">
        <w:r>
          <w:rPr>
            <w:rStyle w:val="Hyperlink"/>
          </w:rPr>
          <w:t xml:space="preserve">6.3.1.1 Communication direction OGC/STA Server towards IPE</w:t>
        </w:r>
      </w:hyperlink>
      <w:r>
        <w:br/>
      </w:r>
      <w:r>
        <w:t xml:space="preserve">            </w:t>
      </w:r>
      <w:hyperlink w:anchor="X0453be452f65c9d23a539b48bdf9f971d17adf6">
        <w:r>
          <w:rPr>
            <w:rStyle w:val="Hyperlink"/>
          </w:rPr>
          <w:t xml:space="preserve">6.3.1.2 Communication direction IPE towards OGC/STA Server</w:t>
        </w:r>
      </w:hyperlink>
      <w:r>
        <w:br/>
      </w:r>
      <w:r>
        <w:t xml:space="preserve">        </w:t>
      </w:r>
      <w:hyperlink w:anchor="configuration-of-the-onem2m-cse">
        <w:r>
          <w:rPr>
            <w:rStyle w:val="Hyperlink"/>
          </w:rPr>
          <w:t xml:space="preserve">6.3.2 Configuration of the oneM2M CSE</w:t>
        </w:r>
      </w:hyperlink>
      <w:r>
        <w:br/>
      </w:r>
      <w:r>
        <w:t xml:space="preserve">            </w:t>
      </w:r>
      <w:hyperlink w:anchor="general-configuration-aspects">
        <w:r>
          <w:rPr>
            <w:rStyle w:val="Hyperlink"/>
          </w:rPr>
          <w:t xml:space="preserve">6.3.2.0 General Configuration Aspects</w:t>
        </w:r>
      </w:hyperlink>
      <w:r>
        <w:br/>
      </w:r>
      <w:r>
        <w:t xml:space="preserve">            </w:t>
      </w:r>
      <w:hyperlink w:anchor="X48adffedc2410e0eb9b535a3d533068faa8ae7b">
        <w:r>
          <w:rPr>
            <w:rStyle w:val="Hyperlink"/>
          </w:rPr>
          <w:t xml:space="preserve">6.3.2.1 Communication direction oneM2M CSE towards IPE</w:t>
        </w:r>
      </w:hyperlink>
      <w:r>
        <w:br/>
      </w:r>
      <w:r>
        <w:t xml:space="preserve">            </w:t>
      </w:r>
      <w:hyperlink w:anchor="X22743badcb57e18f9099c90432b994ad4e35f87">
        <w:r>
          <w:rPr>
            <w:rStyle w:val="Hyperlink"/>
          </w:rPr>
          <w:t xml:space="preserve">6.3.2.2 Communication direction IPE towards oneM2M CSE</w:t>
        </w:r>
      </w:hyperlink>
      <w:r>
        <w:br/>
      </w:r>
      <w:hyperlink w:anchor="proforma-copyright-release-text-block">
        <w:r>
          <w:rPr>
            <w:rStyle w:val="Hyperlink"/>
          </w:rPr>
          <w:t xml:space="preserve">Proforma copyright release text block</w:t>
        </w:r>
      </w:hyperlink>
      <w:r>
        <w:br/>
      </w:r>
      <w:r>
        <w:t xml:space="preserve">    [Annexes]</w:t>
      </w:r>
      <w:r>
        <w:br/>
      </w:r>
      <w:r>
        <w:t xml:space="preserve">[Annex &lt;A&gt; (Informative/Normative):Remove Informative or Normative as appropriat Title of annex (style H9)]</w:t>
      </w:r>
      <w:r>
        <w:br/>
      </w:r>
      <w:r>
        <w:t xml:space="preserve">[Annex &lt;B&gt; (Informative/Normative):Remove Informative or Normative as appropriat Title of annex (style H9)]</w:t>
      </w:r>
      <w:r>
        <w:br/>
      </w:r>
      <w:r>
        <w:t xml:space="preserve">    [B.1 First clause of the annex (style H1)]</w:t>
      </w:r>
      <w:r>
        <w:br/>
      </w:r>
      <w:r>
        <w:t xml:space="preserve">        [B.1.1 First subdivided clause of the annex (style H2)]</w:t>
      </w:r>
      <w:r>
        <w:br/>
      </w:r>
      <w:r>
        <w:t xml:space="preserve">[Annex &lt;y&gt;:Bibliography]</w:t>
      </w:r>
      <w:r>
        <w:br/>
      </w:r>
      <w:hyperlink w:anchor="history">
        <w:r>
          <w:rPr>
            <w:rStyle w:val="Hyperlink"/>
          </w:rPr>
          <w:t xml:space="preserve">History</w:t>
        </w:r>
      </w:hyperlink>
    </w:p>
    <w:bookmarkEnd w:id="23"/>
    <w:bookmarkStart w:id="24" w:name="scope"/>
    <w:p>
      <w:pPr>
        <w:pStyle w:val="Heading1"/>
      </w:pPr>
      <w:r>
        <w:t xml:space="preserve">1 Scope</w:t>
      </w:r>
    </w:p>
    <w:p>
      <w:pPr>
        <w:pStyle w:val="FirstParagraph"/>
      </w:pPr>
      <w:r>
        <w:t xml:space="preserve">The present document …</w:t>
      </w:r>
    </w:p>
    <w:p>
      <w:pPr>
        <w:pStyle w:val="BodyText"/>
      </w:pPr>
      <w:r>
        <w:rPr>
          <w:rStyle w:val="VerbatimChar"/>
        </w:rPr>
        <w:t xml:space="preserve">EXAMPLE:    The present document provides the necessary adaptions to the endorsed document.</w:t>
      </w:r>
    </w:p>
    <w:p>
      <w:pPr>
        <w:pStyle w:val="BodyText"/>
      </w:pPr>
      <w:r>
        <w:t xml:space="preserve">The Scope</w:t>
      </w:r>
      <w:r>
        <w:t xml:space="preserve"> </w:t>
      </w:r>
      <w:r>
        <w:rPr>
          <w:b/>
          <w:bCs/>
        </w:rPr>
        <w:t xml:space="preserve">shall not</w:t>
      </w:r>
      <w:r>
        <w:t xml:space="preserve"> </w:t>
      </w:r>
      <w:r>
        <w:t xml:space="preserve">contain requirements.</w:t>
      </w:r>
    </w:p>
    <w:bookmarkEnd w:id="24"/>
    <w:bookmarkStart w:id="27" w:name="references"/>
    <w:p>
      <w:pPr>
        <w:pStyle w:val="Heading1"/>
      </w:pPr>
      <w:r>
        <w:t xml:space="preserve">2 References</w:t>
      </w:r>
    </w:p>
    <w:p>
      <w:pPr>
        <w:pStyle w:val="FirstParagraph"/>
      </w:pPr>
      <w:r>
        <w:t xml:space="preserve">The following text block applies.</w:t>
      </w:r>
    </w:p>
    <w:p>
      <w:pPr>
        <w:pStyle w:val="BodyText"/>
      </w:pPr>
      <w:r>
        <w:t xml:space="preserve">References are either specific (identified by date of publication and/or edition number or version number) or nonspecific. For specific references,only the cited version applies. For non-specific references, the latest version of the referenced document (including any amendments) applies.</w:t>
      </w:r>
    </w:p>
    <w:bookmarkStart w:id="25" w:name="normative-references"/>
    <w:p>
      <w:pPr>
        <w:pStyle w:val="Heading2"/>
      </w:pPr>
      <w:r>
        <w:t xml:space="preserve">2.1 Normative references</w:t>
      </w:r>
    </w:p>
    <w:p>
      <w:pPr>
        <w:pStyle w:val="Compact"/>
        <w:numPr>
          <w:ilvl w:val="0"/>
          <w:numId w:val="1002"/>
        </w:numPr>
      </w:pPr>
      <w:r>
        <w:t xml:space="preserve">[1]</w:t>
      </w:r>
      <w:r>
        <w:t xml:space="preserve"> </w:t>
      </w:r>
      <w:r>
        <w:t xml:space="preserve">OGC SensorThings API</w:t>
      </w:r>
      <w:r>
        <w:t xml:space="preserve"> </w:t>
      </w:r>
      <w:r>
        <w:t xml:space="preserve">“Part 1: Sensing Version 1.1”</w:t>
      </w:r>
      <w:r>
        <w:t xml:space="preserve"> </w:t>
      </w:r>
      <w:r>
        <w:t xml:space="preserve">(http://www.opengis.net/doc/is/sensorthings/1.1)</w:t>
      </w:r>
    </w:p>
    <w:p>
      <w:pPr>
        <w:pStyle w:val="Compact"/>
        <w:numPr>
          <w:ilvl w:val="0"/>
          <w:numId w:val="1002"/>
        </w:numPr>
      </w:pPr>
      <w:r>
        <w:t xml:space="preserve">[2]</w:t>
      </w:r>
      <w:r>
        <w:t xml:space="preserve"> </w:t>
      </w:r>
      <w:r>
        <w:t xml:space="preserve">oneM2M TS-0033 (V3.0.0):</w:t>
      </w:r>
      <w:r>
        <w:t xml:space="preserve"> </w:t>
      </w:r>
      <w:r>
        <w:t xml:space="preserve">“Interworking Framework”</w:t>
      </w:r>
    </w:p>
    <w:p>
      <w:pPr>
        <w:pStyle w:val="Compact"/>
        <w:numPr>
          <w:ilvl w:val="0"/>
          <w:numId w:val="1002"/>
        </w:numPr>
      </w:pPr>
      <w:r>
        <w:t xml:space="preserve">[3]</w:t>
      </w:r>
      <w:r>
        <w:t xml:space="preserve"> </w:t>
      </w:r>
      <w:r>
        <w:t xml:space="preserve">oneM2M TS-0001 (V4.23.0):</w:t>
      </w:r>
      <w:r>
        <w:t xml:space="preserve"> </w:t>
      </w:r>
      <w:r>
        <w:t xml:space="preserve">“Functional Architecture”</w:t>
      </w:r>
    </w:p>
    <w:bookmarkEnd w:id="25"/>
    <w:bookmarkStart w:id="26" w:name="informative-references"/>
    <w:p>
      <w:pPr>
        <w:pStyle w:val="Heading2"/>
      </w:pPr>
      <w:r>
        <w:t xml:space="preserve">2.2 Informative references</w:t>
      </w:r>
    </w:p>
    <w:p>
      <w:pPr>
        <w:pStyle w:val="FirstParagraph"/>
      </w:pPr>
      <w:r>
        <w:t xml:space="preserve">Clause 2.2 shall only contain informative references which are cited in the document itself.</w:t>
      </w:r>
    </w:p>
    <w:p>
      <w:pPr>
        <w:pStyle w:val="BodyText"/>
      </w:pPr>
      <w:r>
        <w:t xml:space="preserve">The following referenced documents are not necessary for the application of the present document but they assist the user with regard to a particular subject area.</w:t>
      </w:r>
    </w:p>
    <w:p>
      <w:pPr>
        <w:numPr>
          <w:ilvl w:val="0"/>
          <w:numId w:val="1003"/>
        </w:numPr>
      </w:pPr>
      <w:r>
        <w:t xml:space="preserve">Use the</w:t>
      </w:r>
      <w:r>
        <w:t xml:space="preserve"> </w:t>
      </w:r>
      <w:r>
        <w:rPr>
          <w:b/>
          <w:bCs/>
        </w:rPr>
        <w:t xml:space="preserve">EX</w:t>
      </w:r>
      <w:r>
        <w:t xml:space="preserve"> </w:t>
      </w:r>
      <w:r>
        <w:t xml:space="preserve">style, add the letter</w:t>
      </w:r>
      <w:r>
        <w:t xml:space="preserve"> </w:t>
      </w:r>
      <w:r>
        <w:t xml:space="preserve">“i”</w:t>
      </w:r>
      <w:r>
        <w:t xml:space="preserve"> </w:t>
      </w:r>
      <w:r>
        <w:t xml:space="preserve">(for informative) before the number (which shall be in square brackets) and separate this from the title with a tab (you may use sequence fields for automatically numbering references).</w:t>
      </w:r>
    </w:p>
    <w:p>
      <w:pPr>
        <w:numPr>
          <w:ilvl w:val="0"/>
          <w:numId w:val="1003"/>
        </w:numPr>
      </w:pPr>
      <w:r>
        <w:t xml:space="preserve">[i.1]</w:t>
      </w:r>
      <w:r>
        <w:t xml:space="preserve"> </w:t>
      </w:r>
      <w:r>
        <w:t xml:space="preserve">oneM2M Drafting Rules (http://www.onem2m.org/images/files/oneM2M-Drafting-Rules.pdf)</w:t>
      </w:r>
    </w:p>
    <w:bookmarkEnd w:id="26"/>
    <w:bookmarkEnd w:id="27"/>
    <w:bookmarkStart w:id="31" w:name="Xe254da9c2f303321d6c9a4dcbd53386c9eebb59"/>
    <w:p>
      <w:pPr>
        <w:pStyle w:val="Heading1"/>
      </w:pPr>
      <w:r>
        <w:t xml:space="preserve">3 Definition of terms, symbols and abbreviations</w:t>
      </w:r>
    </w:p>
    <w:p>
      <w:pPr>
        <w:pStyle w:val="FirstParagraph"/>
      </w:pPr>
      <w:r>
        <w:t xml:space="preserve">Delete from the above heading the word(s) which is/are not applicable.</w:t>
      </w:r>
    </w:p>
    <w:bookmarkStart w:id="28" w:name="terms"/>
    <w:p>
      <w:pPr>
        <w:pStyle w:val="Heading2"/>
      </w:pPr>
      <w:r>
        <w:t xml:space="preserve">3.1 Terms</w:t>
      </w:r>
    </w:p>
    <w:p>
      <w:pPr>
        <w:pStyle w:val="FirstParagraph"/>
      </w:pPr>
      <w:r>
        <w:t xml:space="preserve">Clause numbering depends on applicability.</w:t>
      </w:r>
    </w:p>
    <w:p>
      <w:pPr>
        <w:pStyle w:val="BodyText"/>
      </w:pPr>
      <w:r>
        <w:t xml:space="preserve">- A definition shall not take the form of, or contain, a requirement.</w:t>
      </w:r>
      <w:r>
        <w:br/>
      </w:r>
      <w:r>
        <w:t xml:space="preserve">- The form of a definition shall be such that it can replace the term in context. Additional information shall be given only in the form of examples or notes (see below).</w:t>
      </w:r>
      <w:r>
        <w:br/>
      </w:r>
      <w:r>
        <w:t xml:space="preserve">- The terms and definitions shall be presented in alphabetical order.</w:t>
      </w:r>
    </w:p>
    <w:p>
      <w:pPr>
        <w:pStyle w:val="BodyText"/>
      </w:pPr>
      <w:r>
        <w:t xml:space="preserve">For the purposes of the present document, the [following] terms and definitions [given in … and the following] apply:</w:t>
      </w:r>
    </w:p>
    <w:p>
      <w:pPr>
        <w:pStyle w:val="BodyText"/>
      </w:pPr>
      <w:r>
        <w:t xml:space="preserve">Definition format</w:t>
      </w:r>
    </w:p>
    <w:p>
      <w:pPr>
        <w:pStyle w:val="BodyText"/>
      </w:pPr>
      <w:r>
        <w:t xml:space="preserve">&lt;defined term&gt;: &lt;definition&gt;</w:t>
      </w:r>
    </w:p>
    <w:p>
      <w:pPr>
        <w:pStyle w:val="BodyText"/>
      </w:pPr>
      <w:r>
        <w:t xml:space="preserve">If a definition is taken from an external source, use the format below where [N] identifies the external document which must be listed in Section 2 References.</w:t>
      </w:r>
    </w:p>
    <w:p>
      <w:pPr>
        <w:pStyle w:val="BodyText"/>
      </w:pPr>
      <w:r>
        <w:t xml:space="preserve">&lt;defined term&gt;[N]: &lt;definition&gt;</w:t>
      </w:r>
    </w:p>
    <w:p>
      <w:pPr>
        <w:pStyle w:val="BodyText"/>
      </w:pPr>
      <w:r>
        <w:t xml:space="preserve">example 1: text used to clarify abstract rules by applying them literally</w:t>
      </w:r>
    </w:p>
    <w:p>
      <w:pPr>
        <w:pStyle w:val="BlockText"/>
      </w:pPr>
      <w:r>
        <w:t xml:space="preserve">NOTE: This may contain additional information.</w:t>
      </w:r>
    </w:p>
    <w:bookmarkEnd w:id="28"/>
    <w:bookmarkStart w:id="29" w:name="symbols"/>
    <w:p>
      <w:pPr>
        <w:pStyle w:val="Heading2"/>
      </w:pPr>
      <w:r>
        <w:t xml:space="preserve">3.2 Symbols</w:t>
      </w:r>
    </w:p>
    <w:p>
      <w:pPr>
        <w:pStyle w:val="FirstParagraph"/>
      </w:pPr>
      <w:r>
        <w:t xml:space="preserve">Clause numbering depends on applicability.</w:t>
      </w:r>
    </w:p>
    <w:p>
      <w:pPr>
        <w:pStyle w:val="BodyText"/>
      </w:pPr>
      <w:r>
        <w:t xml:space="preserve">For the purposes of the present document, the [following] symbols [given in … and the following] apply:</w:t>
      </w:r>
    </w:p>
    <w:p>
      <w:pPr>
        <w:pStyle w:val="BodyText"/>
      </w:pPr>
      <w:r>
        <w:t xml:space="preserve">Symbol format</w:t>
      </w:r>
    </w:p>
    <w:p>
      <w:pPr>
        <w:pStyle w:val="BodyText"/>
      </w:pPr>
      <w:r>
        <w:t xml:space="preserve">&lt;symbol&gt; &lt;Explanation&gt;</w:t>
      </w:r>
      <w:r>
        <w:br/>
      </w:r>
      <w:r>
        <w:t xml:space="preserve">&lt;2nd symbol&gt; &lt;2nd Explanation&gt;</w:t>
      </w:r>
      <w:r>
        <w:br/>
      </w:r>
      <w:r>
        <w:t xml:space="preserve">&lt;3rd symbol&gt; &lt;3rd Explanation&gt;</w:t>
      </w:r>
    </w:p>
    <w:bookmarkEnd w:id="29"/>
    <w:bookmarkStart w:id="30" w:name="abbreviations"/>
    <w:p>
      <w:pPr>
        <w:pStyle w:val="Heading2"/>
      </w:pPr>
      <w:r>
        <w:t xml:space="preserve">3.3 Abbreviations</w:t>
      </w:r>
    </w:p>
    <w:p>
      <w:pPr>
        <w:pStyle w:val="FirstParagraph"/>
      </w:pPr>
      <w:r>
        <w:t xml:space="preserve">Abbreviations should be ordered alphabetically.</w:t>
      </w:r>
    </w:p>
    <w:p>
      <w:pPr>
        <w:pStyle w:val="BodyText"/>
      </w:pPr>
      <w:r>
        <w:t xml:space="preserve">Clause numbering depends on applicability.</w:t>
      </w:r>
    </w:p>
    <w:p>
      <w:pPr>
        <w:pStyle w:val="BodyText"/>
      </w:pPr>
      <w:r>
        <w:t xml:space="preserve">For the purposes of the present document, the [following] abbreviations [given in … and the following] apply:</w:t>
      </w:r>
    </w:p>
    <w:p>
      <w:pPr>
        <w:pStyle w:val="BodyText"/>
      </w:pPr>
      <w:r>
        <w:t xml:space="preserve">Abbreviation format</w:t>
      </w:r>
    </w:p>
    <w:p>
      <w:pPr>
        <w:pStyle w:val="BodyText"/>
      </w:pPr>
      <w:r>
        <w:t xml:space="preserve">&lt;ABREVIATION1&gt; &lt;Explanation&gt;</w:t>
      </w:r>
      <w:r>
        <w:br/>
      </w:r>
      <w:r>
        <w:t xml:space="preserve">&lt;ABREVIATION2&gt; &lt;Explanation&gt;</w:t>
      </w:r>
      <w:r>
        <w:br/>
      </w:r>
      <w:r>
        <w:t xml:space="preserve">&lt;ABREVIATION3&gt; &lt;Explanation&gt;</w:t>
      </w:r>
    </w:p>
    <w:bookmarkEnd w:id="30"/>
    <w:bookmarkEnd w:id="31"/>
    <w:bookmarkStart w:id="32" w:name="conventions"/>
    <w:p>
      <w:pPr>
        <w:pStyle w:val="Heading1"/>
      </w:pPr>
      <w:r>
        <w:t xml:space="preserve">4 Conventions</w:t>
      </w:r>
    </w:p>
    <w:p>
      <w:pPr>
        <w:pStyle w:val="FirstParagraph"/>
      </w:pPr>
      <w:r>
        <w:t xml:space="preserve">The key words</w:t>
      </w:r>
      <w:r>
        <w:t xml:space="preserve"> </w:t>
      </w:r>
      <w:r>
        <w:t xml:space="preserve">“Shall”</w:t>
      </w:r>
      <w:r>
        <w:t xml:space="preserve">,</w:t>
      </w:r>
      <w:r>
        <w:t xml:space="preserve"> </w:t>
      </w:r>
      <w:r>
        <w:t xml:space="preserve">“Shall not”</w:t>
      </w:r>
      <w:r>
        <w:t xml:space="preserve">,</w:t>
      </w:r>
      <w:r>
        <w:t xml:space="preserve"> </w:t>
      </w:r>
      <w:r>
        <w:t xml:space="preserve">“May”</w:t>
      </w:r>
      <w:r>
        <w:t xml:space="preserve">,</w:t>
      </w:r>
      <w:r>
        <w:t xml:space="preserve"> </w:t>
      </w:r>
      <w:r>
        <w:t xml:space="preserve">“Need not”</w:t>
      </w:r>
      <w:r>
        <w:t xml:space="preserve">,</w:t>
      </w:r>
      <w:r>
        <w:t xml:space="preserve"> </w:t>
      </w:r>
      <w:r>
        <w:t xml:space="preserve">“Should”</w:t>
      </w:r>
      <w:r>
        <w:t xml:space="preserve">,</w:t>
      </w:r>
      <w:r>
        <w:t xml:space="preserve"> </w:t>
      </w:r>
      <w:r>
        <w:t xml:space="preserve">“Should not”</w:t>
      </w:r>
      <w:r>
        <w:t xml:space="preserve"> </w:t>
      </w:r>
      <w:r>
        <w:t xml:space="preserve">in this document are to be interpreted as described in the oneM2M Drafting Rules</w:t>
      </w:r>
      <w:r>
        <w:t xml:space="preserve"> </w:t>
      </w:r>
      <w:r>
        <w:t xml:space="preserve">[i.1]</w:t>
      </w:r>
    </w:p>
    <w:bookmarkEnd w:id="32"/>
    <w:bookmarkStart w:id="39" w:name="introduction-to-ogc-sensorthings-api"/>
    <w:p>
      <w:pPr>
        <w:pStyle w:val="Heading1"/>
      </w:pPr>
      <w:r>
        <w:t xml:space="preserve">5 Introduction to OGC SensorThings API</w:t>
      </w:r>
    </w:p>
    <w:p>
      <w:pPr>
        <w:pStyle w:val="FirstParagraph"/>
      </w:pPr>
      <w:r>
        <w:t xml:space="preserve">The SensorThings API (STA) is a standard of the Open Geospatial Consortium (OGC). It provides a framework for communication and exchanging data between sensors and applications. The standard is devided in two parts. SensorThings API Part 1 is dedicated to sensing and was published in 2016 and updated in 2021.</w:t>
      </w:r>
      <w:r>
        <w:br/>
      </w:r>
      <w:r>
        <w:t xml:space="preserve">A STA-based architecture works in client/server mode. A sensor device pushes data to the SensorThings Server via HTTP. A SensorThings Server may also support MQTT protocol to support publish and subscribe capabilities. An interested application can subscribe to the MQTT-Broker, in order to get notified about new sensor events.</w:t>
      </w:r>
    </w:p>
    <w:p>
      <w:pPr>
        <w:pStyle w:val="CaptionedFigure"/>
      </w:pPr>
      <w:r>
        <w:drawing>
          <wp:inline>
            <wp:extent cx="4768381" cy="1221245"/>
            <wp:effectExtent b="0" l="0" r="0" t="0"/>
            <wp:docPr descr="Figure 5-1 STA message flow" title="" id="34" name="Picture"/>
            <a:graphic>
              <a:graphicData uri="http://schemas.openxmlformats.org/drawingml/2006/picture">
                <pic:pic>
                  <pic:nvPicPr>
                    <pic:cNvPr descr="media/STA_flow.png" id="35" name="Picture"/>
                    <pic:cNvPicPr>
                      <a:picLocks noChangeArrowheads="1" noChangeAspect="1"/>
                    </pic:cNvPicPr>
                  </pic:nvPicPr>
                  <pic:blipFill>
                    <a:blip r:embed="rId33"/>
                    <a:stretch>
                      <a:fillRect/>
                    </a:stretch>
                  </pic:blipFill>
                  <pic:spPr bwMode="auto">
                    <a:xfrm>
                      <a:off x="0" y="0"/>
                      <a:ext cx="4768381" cy="1221245"/>
                    </a:xfrm>
                    <a:prstGeom prst="rect">
                      <a:avLst/>
                    </a:prstGeom>
                    <a:noFill/>
                    <a:ln w="9525">
                      <a:noFill/>
                      <a:headEnd/>
                      <a:tailEnd/>
                    </a:ln>
                  </pic:spPr>
                </pic:pic>
              </a:graphicData>
            </a:graphic>
          </wp:inline>
        </w:drawing>
      </w:r>
    </w:p>
    <w:p>
      <w:pPr>
        <w:pStyle w:val="ImageCaption"/>
      </w:pPr>
      <w:r>
        <w:t xml:space="preserve">Figure 5-1 STA message flow</w:t>
      </w:r>
    </w:p>
    <w:p>
      <w:pPr>
        <w:pStyle w:val="BodyText"/>
      </w:pPr>
      <w:r>
        <w:t xml:space="preserve">The data in the SensorThings server are organized as according to</w:t>
      </w:r>
      <w:r>
        <w:t xml:space="preserve"> </w:t>
      </w:r>
      <w:r>
        <w:rPr>
          <w:b/>
          <w:bCs/>
        </w:rPr>
        <w:t xml:space="preserve">Sensing Entities</w:t>
      </w:r>
      <w:r>
        <w:t xml:space="preserve"> </w:t>
      </w:r>
      <w:r>
        <w:t xml:space="preserve">(see Figure 5-2: Sensing Entities data model.</w:t>
      </w:r>
    </w:p>
    <w:p>
      <w:pPr>
        <w:pStyle w:val="CaptionedFigure"/>
      </w:pPr>
      <w:r>
        <w:drawing>
          <wp:inline>
            <wp:extent cx="6108700" cy="4329587"/>
            <wp:effectExtent b="0" l="0" r="0" t="0"/>
            <wp:docPr descr="Figure 5-2 STA Sensing Entities Data Model" title="" id="37" name="Picture"/>
            <a:graphic>
              <a:graphicData uri="http://schemas.openxmlformats.org/drawingml/2006/picture">
                <pic:pic>
                  <pic:nvPicPr>
                    <pic:cNvPr descr="media/data_model.jpg" id="38" name="Picture"/>
                    <pic:cNvPicPr>
                      <a:picLocks noChangeArrowheads="1" noChangeAspect="1"/>
                    </pic:cNvPicPr>
                  </pic:nvPicPr>
                  <pic:blipFill>
                    <a:blip r:embed="rId36"/>
                    <a:stretch>
                      <a:fillRect/>
                    </a:stretch>
                  </pic:blipFill>
                  <pic:spPr bwMode="auto">
                    <a:xfrm>
                      <a:off x="0" y="0"/>
                      <a:ext cx="6108700" cy="4329587"/>
                    </a:xfrm>
                    <a:prstGeom prst="rect">
                      <a:avLst/>
                    </a:prstGeom>
                    <a:noFill/>
                    <a:ln w="9525">
                      <a:noFill/>
                      <a:headEnd/>
                      <a:tailEnd/>
                    </a:ln>
                  </pic:spPr>
                </pic:pic>
              </a:graphicData>
            </a:graphic>
          </wp:inline>
        </w:drawing>
      </w:r>
    </w:p>
    <w:p>
      <w:pPr>
        <w:pStyle w:val="ImageCaption"/>
      </w:pPr>
      <w:r>
        <w:t xml:space="preserve">Figure 5-2 STA Sensing Entities Data Model</w:t>
      </w:r>
    </w:p>
    <w:p>
      <w:pPr>
        <w:pStyle w:val="BodyText"/>
      </w:pPr>
      <w:r>
        <w:t xml:space="preserve">In the Sensing Entities Data Model events or sensor data are called</w:t>
      </w:r>
      <w:r>
        <w:t xml:space="preserve"> </w:t>
      </w:r>
      <w:r>
        <w:t xml:space="preserve">“observations”</w:t>
      </w:r>
      <w:r>
        <w:t xml:space="preserve">. Before a sensor is able to push an observation to the server it needs at least a</w:t>
      </w:r>
      <w:r>
        <w:t xml:space="preserve"> </w:t>
      </w:r>
      <w:r>
        <w:t xml:space="preserve">‘Thing’</w:t>
      </w:r>
      <w:r>
        <w:t xml:space="preserve"> </w:t>
      </w:r>
      <w:r>
        <w:t xml:space="preserve">and a</w:t>
      </w:r>
      <w:r>
        <w:t xml:space="preserve"> </w:t>
      </w:r>
      <w:r>
        <w:t xml:space="preserve">‘Datastream’</w:t>
      </w:r>
      <w:r>
        <w:t xml:space="preserve"> </w:t>
      </w:r>
      <w:r>
        <w:t xml:space="preserve">entity. This has to be created beforehand. One</w:t>
      </w:r>
      <w:r>
        <w:t xml:space="preserve"> </w:t>
      </w:r>
      <w:r>
        <w:t xml:space="preserve">‘Thing’</w:t>
      </w:r>
      <w:r>
        <w:t xml:space="preserve"> </w:t>
      </w:r>
      <w:r>
        <w:t xml:space="preserve">might have different</w:t>
      </w:r>
      <w:r>
        <w:t xml:space="preserve"> </w:t>
      </w:r>
      <w:r>
        <w:t xml:space="preserve">‘Sensors’</w:t>
      </w:r>
      <w:r>
        <w:t xml:space="preserve">, one</w:t>
      </w:r>
      <w:r>
        <w:t xml:space="preserve"> </w:t>
      </w:r>
      <w:r>
        <w:t xml:space="preserve">‘Location’</w:t>
      </w:r>
      <w:r>
        <w:t xml:space="preserve"> </w:t>
      </w:r>
      <w:r>
        <w:t xml:space="preserve">or many</w:t>
      </w:r>
      <w:r>
        <w:t xml:space="preserve"> </w:t>
      </w:r>
      <w:r>
        <w:t xml:space="preserve">‘HistoricalLocations’</w:t>
      </w:r>
      <w:r>
        <w:t xml:space="preserve">.</w:t>
      </w:r>
    </w:p>
    <w:p>
      <w:pPr>
        <w:pStyle w:val="BodyText"/>
      </w:pPr>
      <w:r>
        <w:t xml:space="preserve">The Sensing Entities data model and the purpose of data within the data model discloses mainly two data characteristics, associated with a</w:t>
      </w:r>
      <w:r>
        <w:t xml:space="preserve"> </w:t>
      </w:r>
      <w:r>
        <w:t xml:space="preserve">‘thing’</w:t>
      </w:r>
      <w:r>
        <w:t xml:space="preserve">:</w:t>
      </w:r>
      <w:r>
        <w:t xml:space="preserve"> </w:t>
      </w:r>
      <w:r>
        <w:t xml:space="preserve">- Data observations originated by sensors or commands sent to interact with actuators may be seen as IoT data from oneM2M point of view.</w:t>
      </w:r>
      <w:r>
        <w:t xml:space="preserve"> </w:t>
      </w:r>
      <w:r>
        <w:t xml:space="preserve">While:</w:t>
      </w:r>
      <w:r>
        <w:t xml:space="preserve"> </w:t>
      </w:r>
      <w:r>
        <w:t xml:space="preserve">- Data embedded in the Sensing Entities Data Model, like</w:t>
      </w:r>
      <w:r>
        <w:t xml:space="preserve"> </w:t>
      </w:r>
      <w:r>
        <w:t xml:space="preserve">“historic locations”</w:t>
      </w:r>
      <w:r>
        <w:t xml:space="preserve"> </w:t>
      </w:r>
      <w:r>
        <w:t xml:space="preserve">should be seen as data for documentation purposes.</w:t>
      </w:r>
    </w:p>
    <w:bookmarkEnd w:id="39"/>
    <w:bookmarkStart w:id="89" w:name="X5abb80ab801ecd6d30d47e6986a4a41afff489a"/>
    <w:p>
      <w:pPr>
        <w:pStyle w:val="Heading1"/>
      </w:pPr>
      <w:r>
        <w:t xml:space="preserve">6 Architecture Model of OGC/STA to oneM2M interworking</w:t>
      </w:r>
    </w:p>
    <w:bookmarkStart w:id="43" w:name="overview"/>
    <w:p>
      <w:pPr>
        <w:pStyle w:val="Heading2"/>
      </w:pPr>
      <w:r>
        <w:t xml:space="preserve">6.0 Overview</w:t>
      </w:r>
    </w:p>
    <w:p>
      <w:pPr>
        <w:pStyle w:val="FirstParagraph"/>
      </w:pPr>
      <w:r>
        <w:t xml:space="preserve">Figure 6.0-1 shows an architecture approach for an Interworking Proxy Entity (IPE) between oneM2M and the OGC SensorThings API. The IPE is located between a oneM2M CSE and an OGC/SensorThings API (STA)-Server.</w:t>
      </w:r>
    </w:p>
    <w:p>
      <w:pPr>
        <w:pStyle w:val="BodyText"/>
      </w:pPr>
      <w:r>
        <w:t xml:space="preserve">The basic interworking enables applications that are connected to an oneM2M-based system to get data from sensors that are connected to an OGC/STA server. Furthermore, an application that is connected to an OGC/STA server will be able to get data from sensors that are connected to an oneM2M-based system. The communication flow of the IPE shall rely on HTTP and MQTT. The MQTT protocol enables publish-subscribe functionality for the OGC side, as specified in the MQTT extension of the SensorThings API</w:t>
      </w:r>
      <w:r>
        <w:t xml:space="preserve"> </w:t>
      </w:r>
      <w:r>
        <w:t xml:space="preserve">[i.1]</w:t>
      </w:r>
      <w:r>
        <w:t xml:space="preserve">.</w:t>
      </w:r>
    </w:p>
    <w:p>
      <w:pPr>
        <w:pStyle w:val="CaptionedFigure"/>
      </w:pPr>
      <w:r>
        <w:drawing>
          <wp:inline>
            <wp:extent cx="6108700" cy="3270381"/>
            <wp:effectExtent b="0" l="0" r="0" t="0"/>
            <wp:docPr descr="Figure 6.0-1: IPE architecture overview" title="" id="41" name="Picture"/>
            <a:graphic>
              <a:graphicData uri="http://schemas.openxmlformats.org/drawingml/2006/picture">
                <pic:pic>
                  <pic:nvPicPr>
                    <pic:cNvPr descr="media/STA_oneM2M_architekturbild_01.png" id="42" name="Picture"/>
                    <pic:cNvPicPr>
                      <a:picLocks noChangeArrowheads="1" noChangeAspect="1"/>
                    </pic:cNvPicPr>
                  </pic:nvPicPr>
                  <pic:blipFill>
                    <a:blip r:embed="rId40"/>
                    <a:stretch>
                      <a:fillRect/>
                    </a:stretch>
                  </pic:blipFill>
                  <pic:spPr bwMode="auto">
                    <a:xfrm>
                      <a:off x="0" y="0"/>
                      <a:ext cx="6108700" cy="3270381"/>
                    </a:xfrm>
                    <a:prstGeom prst="rect">
                      <a:avLst/>
                    </a:prstGeom>
                    <a:noFill/>
                    <a:ln w="9525">
                      <a:noFill/>
                      <a:headEnd/>
                      <a:tailEnd/>
                    </a:ln>
                  </pic:spPr>
                </pic:pic>
              </a:graphicData>
            </a:graphic>
          </wp:inline>
        </w:drawing>
      </w:r>
    </w:p>
    <w:p>
      <w:pPr>
        <w:pStyle w:val="ImageCaption"/>
      </w:pPr>
      <w:r>
        <w:t xml:space="preserve">Figure 6.0-1: IPE architecture overview</w:t>
      </w:r>
    </w:p>
    <w:bookmarkEnd w:id="43"/>
    <w:bookmarkStart w:id="47" w:name="ogcsta-to-onem2m-data-model-mapping"/>
    <w:p>
      <w:pPr>
        <w:pStyle w:val="Heading2"/>
      </w:pPr>
      <w:r>
        <w:t xml:space="preserve">6.1 OGC/STA-to-oneM2M Data Model Mapping</w:t>
      </w:r>
    </w:p>
    <w:p>
      <w:pPr>
        <w:pStyle w:val="FirstParagraph"/>
      </w:pPr>
      <w:r>
        <w:t xml:space="preserve">According to oneM2M TS-0033</w:t>
      </w:r>
      <w:r>
        <w:t xml:space="preserve"> </w:t>
      </w:r>
      <w:r>
        <w:t xml:space="preserve">[2]</w:t>
      </w:r>
      <w:r>
        <w:t xml:space="preserve"> </w:t>
      </w:r>
      <w:r>
        <w:t xml:space="preserve">a representation of a non-oneM2M Proximal IoT function/device in a oneM2M-specified resource instance is to be synchronized with the entity that it represents. Thus the OGC/STA data model has to be represented in the hosting CSE. The SensorThings data model is comprehensive and should be regarded as a n:m relational database structure, holding both:</w:t>
      </w:r>
      <w:r>
        <w:t xml:space="preserve"> </w:t>
      </w:r>
      <w:r>
        <w:t xml:space="preserve">- sensor (IoT-data); and</w:t>
      </w:r>
      <w:r>
        <w:t xml:space="preserve"> </w:t>
      </w:r>
      <w:r>
        <w:t xml:space="preserve">- administrative data (like historic locations or historic products IDs).</w:t>
      </w:r>
    </w:p>
    <w:p>
      <w:pPr>
        <w:pStyle w:val="BodyText"/>
      </w:pPr>
      <w:r>
        <w:t xml:space="preserve">The IPE shall map the</w:t>
      </w:r>
      <w:r>
        <w:t xml:space="preserve"> </w:t>
      </w:r>
      <w:r>
        <w:t xml:space="preserve">‘result’</w:t>
      </w:r>
      <w:r>
        <w:t xml:space="preserve"> </w:t>
      </w:r>
      <w:r>
        <w:t xml:space="preserve">attribute of an OGC/STA</w:t>
      </w:r>
      <w:r>
        <w:t xml:space="preserve"> </w:t>
      </w:r>
      <w:r>
        <w:t xml:space="preserve">‘Observation’</w:t>
      </w:r>
      <w:r>
        <w:t xml:space="preserve"> </w:t>
      </w:r>
      <w:r>
        <w:t xml:space="preserve">to the</w:t>
      </w:r>
      <w:r>
        <w:t xml:space="preserve"> </w:t>
      </w:r>
      <w:r>
        <w:t xml:space="preserve">‘content’</w:t>
      </w:r>
      <w:r>
        <w:t xml:space="preserve"> </w:t>
      </w:r>
      <w:r>
        <w:t xml:space="preserve">attribute of a oneM2M</w:t>
      </w:r>
      <w:r>
        <w:t xml:space="preserve"> </w:t>
      </w:r>
      <w:r>
        <w:rPr>
          <w:rStyle w:val="VerbatimChar"/>
          <w:i/>
          <w:iCs/>
        </w:rPr>
        <w:t xml:space="preserve">&lt;contentInstance&gt;</w:t>
      </w:r>
      <w:r>
        <w:t xml:space="preserve">, and vice versa as shown in Figure 6.1-1. The data type of the</w:t>
      </w:r>
      <w:r>
        <w:t xml:space="preserve"> </w:t>
      </w:r>
      <w:r>
        <w:t xml:space="preserve">‘result’</w:t>
      </w:r>
      <w:r>
        <w:t xml:space="preserve"> </w:t>
      </w:r>
      <w:r>
        <w:t xml:space="preserve">field of an</w:t>
      </w:r>
      <w:r>
        <w:t xml:space="preserve"> </w:t>
      </w:r>
      <w:r>
        <w:t xml:space="preserve">“Observation”</w:t>
      </w:r>
      <w:r>
        <w:t xml:space="preserve"> </w:t>
      </w:r>
      <w:r>
        <w:t xml:space="preserve">is according to SensorThings API</w:t>
      </w:r>
      <w:r>
        <w:t xml:space="preserve"> </w:t>
      </w:r>
      <w:r>
        <w:t xml:space="preserve">[i.1]</w:t>
      </w:r>
      <w:r>
        <w:t xml:space="preserve"> </w:t>
      </w:r>
      <w:r>
        <w:t xml:space="preserve">‘any’</w:t>
      </w:r>
      <w:r>
        <w:t xml:space="preserve"> </w:t>
      </w:r>
      <w:r>
        <w:t xml:space="preserve">and depends on the</w:t>
      </w:r>
      <w:r>
        <w:t xml:space="preserve"> </w:t>
      </w:r>
      <w:r>
        <w:t xml:space="preserve">‘observationType’</w:t>
      </w:r>
      <w:r>
        <w:t xml:space="preserve"> </w:t>
      </w:r>
      <w:r>
        <w:t xml:space="preserve">defined in the associated</w:t>
      </w:r>
      <w:r>
        <w:t xml:space="preserve"> </w:t>
      </w:r>
      <w:r>
        <w:t xml:space="preserve">“Datastream”</w:t>
      </w:r>
      <w:r>
        <w:t xml:space="preserve">. The</w:t>
      </w:r>
      <w:r>
        <w:t xml:space="preserve"> </w:t>
      </w:r>
      <w:r>
        <w:t xml:space="preserve">‘content’</w:t>
      </w:r>
      <w:r>
        <w:t xml:space="preserve"> </w:t>
      </w:r>
      <w:r>
        <w:t xml:space="preserve">attribute of an oneM2M instance may be stringified data</w:t>
      </w:r>
      <w:r>
        <w:t xml:space="preserve"> </w:t>
      </w:r>
      <w:r>
        <w:t xml:space="preserve">[3]</w:t>
      </w:r>
      <w:r>
        <w:t xml:space="preserve"> </w:t>
      </w:r>
      <w:r>
        <w:t xml:space="preserve">understandable with the help of the</w:t>
      </w:r>
      <w:r>
        <w:t xml:space="preserve"> </w:t>
      </w:r>
      <w:r>
        <w:t xml:space="preserve">‘contentInfo’</w:t>
      </w:r>
      <w:r>
        <w:t xml:space="preserve"> </w:t>
      </w:r>
      <w:r>
        <w:t xml:space="preserve">attribute. The</w:t>
      </w:r>
      <w:r>
        <w:t xml:space="preserve"> </w:t>
      </w:r>
      <w:r>
        <w:t xml:space="preserve">‘contentInfo’</w:t>
      </w:r>
      <w:r>
        <w:t xml:space="preserve"> </w:t>
      </w:r>
      <w:r>
        <w:t xml:space="preserve">attribute on the oneM2M side may be added by the IPE. The original timestamps, present in the</w:t>
      </w:r>
      <w:r>
        <w:t xml:space="preserve"> </w:t>
      </w:r>
      <w:r>
        <w:t xml:space="preserve">“Observation”</w:t>
      </w:r>
      <w:r>
        <w:t xml:space="preserve"> </w:t>
      </w:r>
      <w:r>
        <w:t xml:space="preserve">as</w:t>
      </w:r>
      <w:r>
        <w:t xml:space="preserve"> </w:t>
      </w:r>
      <w:r>
        <w:t xml:space="preserve">‘phenomenonTime’</w:t>
      </w:r>
      <w:r>
        <w:t xml:space="preserve"> </w:t>
      </w:r>
      <w:r>
        <w:t xml:space="preserve">and in the</w:t>
      </w:r>
      <w:r>
        <w:t xml:space="preserve"> </w:t>
      </w:r>
      <w:r>
        <w:rPr>
          <w:rStyle w:val="VerbatimChar"/>
          <w:i/>
          <w:iCs/>
        </w:rPr>
        <w:t xml:space="preserve">&lt;contentInstance&gt;</w:t>
      </w:r>
      <w:r>
        <w:t xml:space="preserve"> </w:t>
      </w:r>
      <w:r>
        <w:t xml:space="preserve">as</w:t>
      </w:r>
      <w:r>
        <w:t xml:space="preserve"> </w:t>
      </w:r>
      <w:r>
        <w:t xml:space="preserve">“creationTime,”</w:t>
      </w:r>
      <w:r>
        <w:t xml:space="preserve"> </w:t>
      </w:r>
      <w:r>
        <w:t xml:space="preserve">shall be discarded. These timestamps are to be reset by the OGC /STA server and the CSE. They may be transmitted for informational purposes as part of the</w:t>
      </w:r>
      <w:r>
        <w:t xml:space="preserve"> </w:t>
      </w:r>
      <w:r>
        <w:t xml:space="preserve">‘result’</w:t>
      </w:r>
      <w:r>
        <w:t xml:space="preserve"> </w:t>
      </w:r>
      <w:r>
        <w:t xml:space="preserve">or the</w:t>
      </w:r>
      <w:r>
        <w:t xml:space="preserve"> </w:t>
      </w:r>
      <w:r>
        <w:t xml:space="preserve">‘content’</w:t>
      </w:r>
      <w:r>
        <w:t xml:space="preserve"> </w:t>
      </w:r>
      <w:r>
        <w:t xml:space="preserve">fields.</w:t>
      </w:r>
    </w:p>
    <w:p>
      <w:pPr>
        <w:pStyle w:val="CaptionedFigure"/>
      </w:pPr>
      <w:r>
        <w:drawing>
          <wp:inline>
            <wp:extent cx="6108700" cy="4377805"/>
            <wp:effectExtent b="0" l="0" r="0" t="0"/>
            <wp:docPr descr="Figure 6.1-1: OGC / STA-to-oneM2M data model mapping" title="" id="45" name="Picture"/>
            <a:graphic>
              <a:graphicData uri="http://schemas.openxmlformats.org/drawingml/2006/picture">
                <pic:pic>
                  <pic:nvPicPr>
                    <pic:cNvPr descr="media/data_mapping.png" id="46" name="Picture"/>
                    <pic:cNvPicPr>
                      <a:picLocks noChangeArrowheads="1" noChangeAspect="1"/>
                    </pic:cNvPicPr>
                  </pic:nvPicPr>
                  <pic:blipFill>
                    <a:blip r:embed="rId44"/>
                    <a:stretch>
                      <a:fillRect/>
                    </a:stretch>
                  </pic:blipFill>
                  <pic:spPr bwMode="auto">
                    <a:xfrm>
                      <a:off x="0" y="0"/>
                      <a:ext cx="6108700" cy="4377805"/>
                    </a:xfrm>
                    <a:prstGeom prst="rect">
                      <a:avLst/>
                    </a:prstGeom>
                    <a:noFill/>
                    <a:ln w="9525">
                      <a:noFill/>
                      <a:headEnd/>
                      <a:tailEnd/>
                    </a:ln>
                  </pic:spPr>
                </pic:pic>
              </a:graphicData>
            </a:graphic>
          </wp:inline>
        </w:drawing>
      </w:r>
    </w:p>
    <w:p>
      <w:pPr>
        <w:pStyle w:val="ImageCaption"/>
      </w:pPr>
      <w:r>
        <w:t xml:space="preserve">Figure 6.1-1: OGC / STA-to-oneM2M data model mapping</w:t>
      </w:r>
    </w:p>
    <w:bookmarkEnd w:id="47"/>
    <w:bookmarkStart w:id="54" w:name="communication-flow"/>
    <w:p>
      <w:pPr>
        <w:pStyle w:val="Heading2"/>
      </w:pPr>
      <w:r>
        <w:t xml:space="preserve">6.2 Communication Flow</w:t>
      </w:r>
    </w:p>
    <w:p>
      <w:pPr>
        <w:pStyle w:val="FirstParagraph"/>
      </w:pPr>
      <w:r>
        <w:t xml:space="preserve">Figure 6.2-1 shows the oneM2M-to-OGC/STA direction. In order to transfer data from a oneM2M sensor to the OGC/STA server the IPE creates a</w:t>
      </w:r>
      <w:r>
        <w:t xml:space="preserve"> </w:t>
      </w:r>
      <w:r>
        <w:rPr>
          <w:rStyle w:val="VerbatimChar"/>
          <w:i/>
          <w:iCs/>
        </w:rPr>
        <w:t xml:space="preserve">&lt;subscription&gt;</w:t>
      </w:r>
      <w:r>
        <w:t xml:space="preserve"> </w:t>
      </w:r>
      <w:r>
        <w:t xml:space="preserve">to the</w:t>
      </w:r>
      <w:r>
        <w:t xml:space="preserve"> </w:t>
      </w:r>
      <w:r>
        <w:rPr>
          <w:rStyle w:val="VerbatimChar"/>
          <w:i/>
          <w:iCs/>
        </w:rPr>
        <w:t xml:space="preserve">&lt;container&gt;</w:t>
      </w:r>
      <w:r>
        <w:t xml:space="preserve"> </w:t>
      </w:r>
      <w:r>
        <w:t xml:space="preserve">resource in the CSE containing the desired data. Triggered by a sensor event a new</w:t>
      </w:r>
      <w:r>
        <w:t xml:space="preserve"> </w:t>
      </w:r>
      <w:r>
        <w:rPr>
          <w:rStyle w:val="VerbatimChar"/>
          <w:i/>
          <w:iCs/>
        </w:rPr>
        <w:t xml:space="preserve">&lt;contentInstance&gt;</w:t>
      </w:r>
      <w:r>
        <w:t xml:space="preserve"> </w:t>
      </w:r>
      <w:r>
        <w:t xml:space="preserve">is added to the</w:t>
      </w:r>
      <w:r>
        <w:t xml:space="preserve"> </w:t>
      </w:r>
      <w:r>
        <w:rPr>
          <w:rStyle w:val="VerbatimChar"/>
          <w:i/>
          <w:iCs/>
        </w:rPr>
        <w:t xml:space="preserve">&lt;container&gt;</w:t>
      </w:r>
      <w:r>
        <w:t xml:space="preserve"> </w:t>
      </w:r>
      <w:r>
        <w:t xml:space="preserve">by the</w:t>
      </w:r>
      <w:r>
        <w:t xml:space="preserve"> </w:t>
      </w:r>
      <w:r>
        <w:rPr>
          <w:rStyle w:val="VerbatimChar"/>
          <w:i/>
          <w:iCs/>
        </w:rPr>
        <w:t xml:space="preserve">&lt;AE&gt;</w:t>
      </w:r>
      <w:r>
        <w:t xml:space="preserve">. The IPE gets a</w:t>
      </w:r>
      <w:r>
        <w:t xml:space="preserve"> </w:t>
      </w:r>
      <w:r>
        <w:rPr>
          <w:rStyle w:val="VerbatimChar"/>
          <w:i/>
          <w:iCs/>
        </w:rPr>
        <w:t xml:space="preserve">&lt;notification&gt;</w:t>
      </w:r>
      <w:r>
        <w:t xml:space="preserve"> </w:t>
      </w:r>
      <w:r>
        <w:t xml:space="preserve">containing the</w:t>
      </w:r>
      <w:r>
        <w:t xml:space="preserve"> </w:t>
      </w:r>
      <w:r>
        <w:rPr>
          <w:rStyle w:val="VerbatimChar"/>
          <w:i/>
          <w:iCs/>
        </w:rPr>
        <w:t xml:space="preserve">&lt;contentInstance&gt;</w:t>
      </w:r>
      <w:r>
        <w:t xml:space="preserve"> </w:t>
      </w:r>
      <w:r>
        <w:t xml:space="preserve">resource.</w:t>
      </w:r>
      <w:r>
        <w:t xml:space="preserve"> </w:t>
      </w:r>
      <w:r>
        <w:t xml:space="preserve">The IPE constructs an</w:t>
      </w:r>
      <w:r>
        <w:t xml:space="preserve"> </w:t>
      </w:r>
      <w:r>
        <w:t xml:space="preserve">“Observation”</w:t>
      </w:r>
      <w:r>
        <w:t xml:space="preserve"> </w:t>
      </w:r>
      <w:r>
        <w:t xml:space="preserve">creation request and copies the</w:t>
      </w:r>
      <w:r>
        <w:t xml:space="preserve"> </w:t>
      </w:r>
      <w:r>
        <w:t xml:space="preserve">‘content’</w:t>
      </w:r>
      <w:r>
        <w:t xml:space="preserve"> </w:t>
      </w:r>
      <w:r>
        <w:t xml:space="preserve">attribute of the</w:t>
      </w:r>
      <w:r>
        <w:t xml:space="preserve"> </w:t>
      </w:r>
      <w:r>
        <w:rPr>
          <w:rStyle w:val="VerbatimChar"/>
          <w:i/>
          <w:iCs/>
        </w:rPr>
        <w:t xml:space="preserve">&lt;contentInstance&gt;</w:t>
      </w:r>
      <w:r>
        <w:t xml:space="preserve"> </w:t>
      </w:r>
      <w:r>
        <w:t xml:space="preserve">to the</w:t>
      </w:r>
      <w:r>
        <w:t xml:space="preserve"> </w:t>
      </w:r>
      <w:r>
        <w:t xml:space="preserve">‘result’</w:t>
      </w:r>
      <w:r>
        <w:t xml:space="preserve"> </w:t>
      </w:r>
      <w:r>
        <w:t xml:space="preserve">attribute of the</w:t>
      </w:r>
      <w:r>
        <w:t xml:space="preserve"> </w:t>
      </w:r>
      <w:r>
        <w:t xml:space="preserve">“Observation”</w:t>
      </w:r>
      <w:r>
        <w:t xml:space="preserve"> </w:t>
      </w:r>
      <w:r>
        <w:t xml:space="preserve">and sends it to a</w:t>
      </w:r>
      <w:r>
        <w:t xml:space="preserve"> </w:t>
      </w:r>
      <w:r>
        <w:t xml:space="preserve">“Datastream”</w:t>
      </w:r>
      <w:r>
        <w:t xml:space="preserve"> </w:t>
      </w:r>
      <w:r>
        <w:t xml:space="preserve">to be created as detailed in Section 6.3.1 at the OGC/STA server. The OGC/STA applcation gets the sensor data either by polling the OGC/STA server or subscribing to the corresponding</w:t>
      </w:r>
      <w:r>
        <w:t xml:space="preserve"> </w:t>
      </w:r>
      <w:r>
        <w:t xml:space="preserve">“Datastream”</w:t>
      </w:r>
      <w:r>
        <w:t xml:space="preserve"> </w:t>
      </w:r>
      <w:r>
        <w:t xml:space="preserve">at the MQTT broker of the OGC/STA server.</w:t>
      </w:r>
    </w:p>
    <w:p>
      <w:pPr>
        <w:pStyle w:val="CaptionedFigure"/>
      </w:pPr>
      <w:r>
        <w:drawing>
          <wp:inline>
            <wp:extent cx="6108700" cy="3114735"/>
            <wp:effectExtent b="0" l="0" r="0" t="0"/>
            <wp:docPr descr="Figure 6.2-1: Communication oneM2M-to-OGC/STA direction" title="" id="49" name="Picture"/>
            <a:graphic>
              <a:graphicData uri="http://schemas.openxmlformats.org/drawingml/2006/picture">
                <pic:pic>
                  <pic:nvPicPr>
                    <pic:cNvPr descr="media/com_flow_1.png" id="50" name="Picture"/>
                    <pic:cNvPicPr>
                      <a:picLocks noChangeArrowheads="1" noChangeAspect="1"/>
                    </pic:cNvPicPr>
                  </pic:nvPicPr>
                  <pic:blipFill>
                    <a:blip r:embed="rId48"/>
                    <a:stretch>
                      <a:fillRect/>
                    </a:stretch>
                  </pic:blipFill>
                  <pic:spPr bwMode="auto">
                    <a:xfrm>
                      <a:off x="0" y="0"/>
                      <a:ext cx="6108700" cy="3114735"/>
                    </a:xfrm>
                    <a:prstGeom prst="rect">
                      <a:avLst/>
                    </a:prstGeom>
                    <a:noFill/>
                    <a:ln w="9525">
                      <a:noFill/>
                      <a:headEnd/>
                      <a:tailEnd/>
                    </a:ln>
                  </pic:spPr>
                </pic:pic>
              </a:graphicData>
            </a:graphic>
          </wp:inline>
        </w:drawing>
      </w:r>
    </w:p>
    <w:p>
      <w:pPr>
        <w:pStyle w:val="ImageCaption"/>
      </w:pPr>
      <w:r>
        <w:t xml:space="preserve">Figure 6.2-1: Communication oneM2M-to-OGC/STA direction</w:t>
      </w:r>
    </w:p>
    <w:p>
      <w:pPr>
        <w:pStyle w:val="BodyText"/>
      </w:pPr>
      <w:r>
        <w:t xml:space="preserve">Figure 6.2-2 shows the OGC/STA-to-oneM2M direction. The IPE subscribes to the desired</w:t>
      </w:r>
      <w:r>
        <w:t xml:space="preserve"> </w:t>
      </w:r>
      <w:r>
        <w:t xml:space="preserve">“Datastream”</w:t>
      </w:r>
      <w:r>
        <w:t xml:space="preserve"> </w:t>
      </w:r>
      <w:r>
        <w:t xml:space="preserve">of the MQTT-Broker at the OGC/STA server. The OGC/STA server publishes a new</w:t>
      </w:r>
      <w:r>
        <w:t xml:space="preserve"> </w:t>
      </w:r>
      <w:r>
        <w:t xml:space="preserve">“Observation”</w:t>
      </w:r>
      <w:r>
        <w:t xml:space="preserve"> </w:t>
      </w:r>
      <w:r>
        <w:t xml:space="preserve">via the MQTT broker triggered by a OGC/STA sensor. The IPE creates a</w:t>
      </w:r>
      <w:r>
        <w:t xml:space="preserve"> </w:t>
      </w:r>
      <w:r>
        <w:rPr>
          <w:rStyle w:val="VerbatimChar"/>
          <w:i/>
          <w:iCs/>
        </w:rPr>
        <w:t xml:space="preserve">&lt;contentInstance&gt;</w:t>
      </w:r>
      <w:r>
        <w:t xml:space="preserve"> </w:t>
      </w:r>
      <w:r>
        <w:t xml:space="preserve">in a container, to be created as detailed in Section 6.3.2 in the CSE and copies the</w:t>
      </w:r>
      <w:r>
        <w:t xml:space="preserve"> </w:t>
      </w:r>
      <w:r>
        <w:t xml:space="preserve">‘result’</w:t>
      </w:r>
      <w:r>
        <w:t xml:space="preserve"> </w:t>
      </w:r>
      <w:r>
        <w:t xml:space="preserve">attribute of the</w:t>
      </w:r>
      <w:r>
        <w:t xml:space="preserve"> </w:t>
      </w:r>
      <w:r>
        <w:t xml:space="preserve">“Observation”</w:t>
      </w:r>
      <w:r>
        <w:t xml:space="preserve"> </w:t>
      </w:r>
      <w:r>
        <w:t xml:space="preserve">to the</w:t>
      </w:r>
      <w:r>
        <w:t xml:space="preserve"> </w:t>
      </w:r>
      <w:r>
        <w:t xml:space="preserve">‘content’</w:t>
      </w:r>
      <w:r>
        <w:t xml:space="preserve"> </w:t>
      </w:r>
      <w:r>
        <w:t xml:space="preserve">attribute of the</w:t>
      </w:r>
      <w:r>
        <w:t xml:space="preserve"> </w:t>
      </w:r>
      <w:r>
        <w:rPr>
          <w:rStyle w:val="VerbatimChar"/>
          <w:i/>
          <w:iCs/>
        </w:rPr>
        <w:t xml:space="preserve">&lt;contentInstance&gt;</w:t>
      </w:r>
      <w:r>
        <w:t xml:space="preserve">. The oneM2M applcation gets the sensor data either by polling the CSE or subscribing to the desired</w:t>
      </w:r>
      <w:r>
        <w:t xml:space="preserve"> </w:t>
      </w:r>
      <w:r>
        <w:rPr>
          <w:rStyle w:val="VerbatimChar"/>
          <w:i/>
          <w:iCs/>
        </w:rPr>
        <w:t xml:space="preserve">&lt;container&gt;</w:t>
      </w:r>
      <w:r>
        <w:t xml:space="preserve"> </w:t>
      </w:r>
      <w:r>
        <w:t xml:space="preserve">at the CSE.</w:t>
      </w:r>
    </w:p>
    <w:p>
      <w:pPr>
        <w:pStyle w:val="CaptionedFigure"/>
      </w:pPr>
      <w:r>
        <w:drawing>
          <wp:inline>
            <wp:extent cx="6108700" cy="2041648"/>
            <wp:effectExtent b="0" l="0" r="0" t="0"/>
            <wp:docPr descr="Figure 6.2-2: Communication OGC/STA-to-oneM2M direction" title="" id="52" name="Picture"/>
            <a:graphic>
              <a:graphicData uri="http://schemas.openxmlformats.org/drawingml/2006/picture">
                <pic:pic>
                  <pic:nvPicPr>
                    <pic:cNvPr descr="media/com_flow_2.png" id="53" name="Picture"/>
                    <pic:cNvPicPr>
                      <a:picLocks noChangeArrowheads="1" noChangeAspect="1"/>
                    </pic:cNvPicPr>
                  </pic:nvPicPr>
                  <pic:blipFill>
                    <a:blip r:embed="rId51"/>
                    <a:stretch>
                      <a:fillRect/>
                    </a:stretch>
                  </pic:blipFill>
                  <pic:spPr bwMode="auto">
                    <a:xfrm>
                      <a:off x="0" y="0"/>
                      <a:ext cx="6108700" cy="2041648"/>
                    </a:xfrm>
                    <a:prstGeom prst="rect">
                      <a:avLst/>
                    </a:prstGeom>
                    <a:noFill/>
                    <a:ln w="9525">
                      <a:noFill/>
                      <a:headEnd/>
                      <a:tailEnd/>
                    </a:ln>
                  </pic:spPr>
                </pic:pic>
              </a:graphicData>
            </a:graphic>
          </wp:inline>
        </w:drawing>
      </w:r>
    </w:p>
    <w:p>
      <w:pPr>
        <w:pStyle w:val="ImageCaption"/>
      </w:pPr>
      <w:r>
        <w:t xml:space="preserve">Figure 6.2-2: Communication OGC/STA-to-oneM2M direction</w:t>
      </w:r>
    </w:p>
    <w:p>
      <w:pPr>
        <w:pStyle w:val="BodyText"/>
      </w:pPr>
      <w:r>
        <w:t xml:space="preserve">The following text is to be used when appropriate:</w:t>
      </w:r>
    </w:p>
    <w:bookmarkEnd w:id="54"/>
    <w:bookmarkStart w:id="88" w:name="configuration-aspects"/>
    <w:p>
      <w:pPr>
        <w:pStyle w:val="Heading2"/>
      </w:pPr>
      <w:r>
        <w:t xml:space="preserve">6.3 Configuration Aspects</w:t>
      </w:r>
    </w:p>
    <w:bookmarkStart w:id="58" w:name="introduction"/>
    <w:p>
      <w:pPr>
        <w:pStyle w:val="Heading3"/>
      </w:pPr>
      <w:r>
        <w:t xml:space="preserve">6.3.0 Introduction</w:t>
      </w:r>
    </w:p>
    <w:p>
      <w:pPr>
        <w:pStyle w:val="FirstParagraph"/>
      </w:pPr>
      <w:r>
        <w:t xml:space="preserve">To enable interworking, preparation is required for both the oneM2M-CSE and the OGC/STA server (see Figure 6.3.0-1). As described in Section 6.0, the IPE maps data from an OGC/STA</w:t>
      </w:r>
      <w:r>
        <w:t xml:space="preserve"> </w:t>
      </w:r>
      <w:r>
        <w:t xml:space="preserve">“Observation”</w:t>
      </w:r>
      <w:r>
        <w:t xml:space="preserve"> </w:t>
      </w:r>
      <w:r>
        <w:t xml:space="preserve">to a oneM2M</w:t>
      </w:r>
      <w:r>
        <w:t xml:space="preserve"> </w:t>
      </w:r>
      <w:r>
        <w:rPr>
          <w:rStyle w:val="VerbatimChar"/>
          <w:i/>
          <w:iCs/>
        </w:rPr>
        <w:t xml:space="preserve">&lt;contentInstance&gt;</w:t>
      </w:r>
      <w:r>
        <w:t xml:space="preserve"> </w:t>
      </w:r>
      <w:r>
        <w:t xml:space="preserve">and vice versa. This specification defines a 1-to-1 relationship in each direction between the</w:t>
      </w:r>
      <w:r>
        <w:t xml:space="preserve"> </w:t>
      </w:r>
      <w:r>
        <w:t xml:space="preserve">“Datastream”</w:t>
      </w:r>
      <w:r>
        <w:t xml:space="preserve"> </w:t>
      </w:r>
      <w:r>
        <w:t xml:space="preserve">associated with the</w:t>
      </w:r>
      <w:r>
        <w:t xml:space="preserve"> </w:t>
      </w:r>
      <w:r>
        <w:t xml:space="preserve">“Observation”</w:t>
      </w:r>
      <w:r>
        <w:t xml:space="preserve"> </w:t>
      </w:r>
      <w:r>
        <w:t xml:space="preserve">and the</w:t>
      </w:r>
      <w:r>
        <w:t xml:space="preserve"> </w:t>
      </w:r>
      <w:r>
        <w:rPr>
          <w:rStyle w:val="VerbatimChar"/>
          <w:i/>
          <w:iCs/>
        </w:rPr>
        <w:t xml:space="preserve">&lt;container&gt;</w:t>
      </w:r>
      <w:r>
        <w:t xml:space="preserve"> </w:t>
      </w:r>
      <w:r>
        <w:t xml:space="preserve">associated with the</w:t>
      </w:r>
      <w:r>
        <w:t xml:space="preserve"> </w:t>
      </w:r>
      <w:r>
        <w:rPr>
          <w:rStyle w:val="VerbatimChar"/>
          <w:i/>
          <w:iCs/>
        </w:rPr>
        <w:t xml:space="preserve">&lt;contentInstance&gt;</w:t>
      </w:r>
      <w:r>
        <w:t xml:space="preserve">. An IPE may implement multiple 1-to-1 relationships.</w:t>
      </w:r>
    </w:p>
    <w:p>
      <w:pPr>
        <w:pStyle w:val="CaptionedFigure"/>
      </w:pPr>
      <w:r>
        <w:drawing>
          <wp:inline>
            <wp:extent cx="6108700" cy="1295207"/>
            <wp:effectExtent b="0" l="0" r="0" t="0"/>
            <wp:docPr descr="Figure 6.3.0-1: Both sides of the IPE configuration" title="" id="56" name="Picture"/>
            <a:graphic>
              <a:graphicData uri="http://schemas.openxmlformats.org/drawingml/2006/picture">
                <pic:pic>
                  <pic:nvPicPr>
                    <pic:cNvPr descr="media/config.png" id="57" name="Picture"/>
                    <pic:cNvPicPr>
                      <a:picLocks noChangeArrowheads="1" noChangeAspect="1"/>
                    </pic:cNvPicPr>
                  </pic:nvPicPr>
                  <pic:blipFill>
                    <a:blip r:embed="rId55"/>
                    <a:stretch>
                      <a:fillRect/>
                    </a:stretch>
                  </pic:blipFill>
                  <pic:spPr bwMode="auto">
                    <a:xfrm>
                      <a:off x="0" y="0"/>
                      <a:ext cx="6108700" cy="1295207"/>
                    </a:xfrm>
                    <a:prstGeom prst="rect">
                      <a:avLst/>
                    </a:prstGeom>
                    <a:noFill/>
                    <a:ln w="9525">
                      <a:noFill/>
                      <a:headEnd/>
                      <a:tailEnd/>
                    </a:ln>
                  </pic:spPr>
                </pic:pic>
              </a:graphicData>
            </a:graphic>
          </wp:inline>
        </w:drawing>
      </w:r>
    </w:p>
    <w:p>
      <w:pPr>
        <w:pStyle w:val="ImageCaption"/>
      </w:pPr>
      <w:r>
        <w:t xml:space="preserve">Figure 6.3.0-1: Both sides of the IPE configuration</w:t>
      </w:r>
    </w:p>
    <w:bookmarkEnd w:id="58"/>
    <w:bookmarkStart w:id="68" w:name="configuration-of-ogcsta-server-side"/>
    <w:p>
      <w:pPr>
        <w:pStyle w:val="Heading3"/>
      </w:pPr>
      <w:r>
        <w:t xml:space="preserve">6.3.1 Configuration of OGC/STA Server Side</w:t>
      </w:r>
    </w:p>
    <w:bookmarkStart w:id="59" w:name="overview-1"/>
    <w:p>
      <w:pPr>
        <w:pStyle w:val="Heading4"/>
      </w:pPr>
      <w:r>
        <w:t xml:space="preserve">6.3.1.0 Overview</w:t>
      </w:r>
    </w:p>
    <w:p>
      <w:pPr>
        <w:pStyle w:val="FirstParagraph"/>
      </w:pPr>
      <w:r>
        <w:t xml:space="preserve">Both directions of the data flow between the OGC/STA server and the IPE require their own configuration steps.</w:t>
      </w:r>
    </w:p>
    <w:bookmarkEnd w:id="59"/>
    <w:bookmarkStart w:id="63" w:name="Xbc3b2d3f17d15cef8ccf6a46767561e165ad0d0"/>
    <w:p>
      <w:pPr>
        <w:pStyle w:val="Heading4"/>
      </w:pPr>
      <w:r>
        <w:t xml:space="preserve">6.3.1.1 Communication direction OGC/STA Server towards IPE</w:t>
      </w:r>
    </w:p>
    <w:p>
      <w:pPr>
        <w:pStyle w:val="FirstParagraph"/>
      </w:pPr>
      <w:r>
        <w:t xml:space="preserve">In Figure 6.3.1.1-1, an OGC/STA client is connected to an OGC/STA server, and its data is forwarded to the IPE. The OGC/STA client publishes data to the OGC/STA server via an HTTP-POST message.</w:t>
      </w:r>
    </w:p>
    <w:p>
      <w:pPr>
        <w:pStyle w:val="BodyText"/>
      </w:pPr>
      <w:r>
        <w:t xml:space="preserve">An</w:t>
      </w:r>
      <w:r>
        <w:t xml:space="preserve"> </w:t>
      </w:r>
      <w:r>
        <w:t xml:space="preserve">“Observation”</w:t>
      </w:r>
      <w:r>
        <w:t xml:space="preserve"> </w:t>
      </w:r>
      <w:r>
        <w:t xml:space="preserve">according to STA Sensing Entities Data Model</w:t>
      </w:r>
      <w:r>
        <w:t xml:space="preserve"> </w:t>
      </w:r>
      <w:r>
        <w:t xml:space="preserve">[i.1]</w:t>
      </w:r>
      <w:r>
        <w:t xml:space="preserve"> </w:t>
      </w:r>
      <w:r>
        <w:t xml:space="preserve">belongs to a</w:t>
      </w:r>
      <w:r>
        <w:t xml:space="preserve"> </w:t>
      </w:r>
      <w:r>
        <w:t xml:space="preserve">“Datastream”</w:t>
      </w:r>
      <w:r>
        <w:t xml:space="preserve"> </w:t>
      </w:r>
      <w:r>
        <w:t xml:space="preserve">(see Figure 5-2). The IPE shall subscribe to the</w:t>
      </w:r>
      <w:r>
        <w:t xml:space="preserve"> </w:t>
      </w:r>
      <w:r>
        <w:t xml:space="preserve">“Datastream”</w:t>
      </w:r>
      <w:r>
        <w:t xml:space="preserve"> </w:t>
      </w:r>
      <w:r>
        <w:t xml:space="preserve">containing the observations to be forwarded to the oneM2M side at the MQTT broker of the OGC/STA server using its specific URL or topic, e.g., {sta-example-server-address.com/v1.0/Datastreams(8715)}. Upon successful subscription, the IPE will receive every</w:t>
      </w:r>
      <w:r>
        <w:t xml:space="preserve"> </w:t>
      </w:r>
      <w:r>
        <w:t xml:space="preserve">“Observation”</w:t>
      </w:r>
      <w:r>
        <w:t xml:space="preserve"> </w:t>
      </w:r>
      <w:r>
        <w:t xml:space="preserve">pushed to that</w:t>
      </w:r>
      <w:r>
        <w:t xml:space="preserve"> </w:t>
      </w:r>
      <w:r>
        <w:t xml:space="preserve">“Datastream”</w:t>
      </w:r>
      <w:r>
        <w:t xml:space="preserve">.</w:t>
      </w:r>
    </w:p>
    <w:p>
      <w:pPr>
        <w:pStyle w:val="CaptionedFigure"/>
      </w:pPr>
      <w:r>
        <w:drawing>
          <wp:inline>
            <wp:extent cx="5689291" cy="878268"/>
            <wp:effectExtent b="0" l="0" r="0" t="0"/>
            <wp:docPr descr="Figure 6.3.1.1-1: Message flow from OGC/STA Client to OGC/STA Server to IPE" title="" id="61" name="Picture"/>
            <a:graphic>
              <a:graphicData uri="http://schemas.openxmlformats.org/drawingml/2006/picture">
                <pic:pic>
                  <pic:nvPicPr>
                    <pic:cNvPr descr="media/config_ogc.png" id="62" name="Picture"/>
                    <pic:cNvPicPr>
                      <a:picLocks noChangeArrowheads="1" noChangeAspect="1"/>
                    </pic:cNvPicPr>
                  </pic:nvPicPr>
                  <pic:blipFill>
                    <a:blip r:embed="rId60"/>
                    <a:stretch>
                      <a:fillRect/>
                    </a:stretch>
                  </pic:blipFill>
                  <pic:spPr bwMode="auto">
                    <a:xfrm>
                      <a:off x="0" y="0"/>
                      <a:ext cx="5689291" cy="878268"/>
                    </a:xfrm>
                    <a:prstGeom prst="rect">
                      <a:avLst/>
                    </a:prstGeom>
                    <a:noFill/>
                    <a:ln w="9525">
                      <a:noFill/>
                      <a:headEnd/>
                      <a:tailEnd/>
                    </a:ln>
                  </pic:spPr>
                </pic:pic>
              </a:graphicData>
            </a:graphic>
          </wp:inline>
        </w:drawing>
      </w:r>
    </w:p>
    <w:p>
      <w:pPr>
        <w:pStyle w:val="ImageCaption"/>
      </w:pPr>
      <w:r>
        <w:t xml:space="preserve">Figure 6.3.1.1-1: Message flow from OGC/STA Client to OGC/STA Server to IPE</w:t>
      </w:r>
    </w:p>
    <w:bookmarkEnd w:id="63"/>
    <w:bookmarkStart w:id="67" w:name="X0453be452f65c9d23a539b48bdf9f971d17adf6"/>
    <w:p>
      <w:pPr>
        <w:pStyle w:val="Heading4"/>
      </w:pPr>
      <w:r>
        <w:t xml:space="preserve">6.3.1.2 Communication direction IPE towards OGC/STA Server</w:t>
      </w:r>
    </w:p>
    <w:p>
      <w:pPr>
        <w:pStyle w:val="FirstParagraph"/>
      </w:pPr>
      <w:r>
        <w:t xml:space="preserve">The IPE requires a destination-</w:t>
      </w:r>
      <w:r>
        <w:t xml:space="preserve">“Datastream”</w:t>
      </w:r>
      <w:r>
        <w:t xml:space="preserve"> </w:t>
      </w:r>
      <w:r>
        <w:t xml:space="preserve">to send an</w:t>
      </w:r>
      <w:r>
        <w:t xml:space="preserve"> </w:t>
      </w:r>
      <w:r>
        <w:t xml:space="preserve">“Observation”</w:t>
      </w:r>
      <w:r>
        <w:t xml:space="preserve"> </w:t>
      </w:r>
      <w:r>
        <w:t xml:space="preserve">containing data from the oneM2M side. If no associated</w:t>
      </w:r>
      <w:r>
        <w:t xml:space="preserve"> </w:t>
      </w:r>
      <w:r>
        <w:t xml:space="preserve">“Datastream”</w:t>
      </w:r>
      <w:r>
        <w:t xml:space="preserve"> </w:t>
      </w:r>
      <w:r>
        <w:t xml:space="preserve">exists on the OGC/STA server, it shall be created. This can be done beforehand or at the IPE’s start-up, depending on the implementation.</w:t>
      </w:r>
      <w:r>
        <w:t xml:space="preserve"> </w:t>
      </w:r>
      <w:r>
        <w:t xml:space="preserve">When a</w:t>
      </w:r>
      <w:r>
        <w:t xml:space="preserve"> </w:t>
      </w:r>
      <w:r>
        <w:t xml:space="preserve">“Datastream”</w:t>
      </w:r>
      <w:r>
        <w:t xml:space="preserve"> </w:t>
      </w:r>
      <w:r>
        <w:t xml:space="preserve">is created on the OGC/STA server, a reference ID (e.g. {</w:t>
      </w:r>
      <w:r>
        <w:t xml:space="preserve">“</w:t>
      </w:r>
      <w:r>
        <w:t xml:space="preserve">@iot.id:3635353</w:t>
      </w:r>
      <w:r>
        <w:t xml:space="preserve">”</w:t>
      </w:r>
      <w:r>
        <w:t xml:space="preserve">}) is returned. This reference is required by the IPE to associate an</w:t>
      </w:r>
      <w:r>
        <w:t xml:space="preserve"> </w:t>
      </w:r>
      <w:r>
        <w:t xml:space="preserve">“Observation”</w:t>
      </w:r>
      <w:r>
        <w:t xml:space="preserve"> </w:t>
      </w:r>
      <w:r>
        <w:t xml:space="preserve">with a</w:t>
      </w:r>
      <w:r>
        <w:t xml:space="preserve"> </w:t>
      </w:r>
      <w:r>
        <w:t xml:space="preserve">“Datastream”</w:t>
      </w:r>
      <w:r>
        <w:t xml:space="preserve"> </w:t>
      </w:r>
      <w:r>
        <w:t xml:space="preserve">and shall be available during IPE operation. In addition to the</w:t>
      </w:r>
      <w:r>
        <w:t xml:space="preserve"> </w:t>
      </w:r>
      <w:r>
        <w:t xml:space="preserve">“Datastream”</w:t>
      </w:r>
      <w:r>
        <w:t xml:space="preserve"> </w:t>
      </w:r>
      <w:r>
        <w:t xml:space="preserve">other entities of the STA Sensing Entities Data Model</w:t>
      </w:r>
      <w:r>
        <w:t xml:space="preserve"> </w:t>
      </w:r>
      <w:r>
        <w:t xml:space="preserve">[i.1]</w:t>
      </w:r>
      <w:r>
        <w:t xml:space="preserve">, such as</w:t>
      </w:r>
      <w:r>
        <w:t xml:space="preserve"> </w:t>
      </w:r>
      <w:r>
        <w:t xml:space="preserve">“Location”</w:t>
      </w:r>
      <w:r>
        <w:t xml:space="preserve"> </w:t>
      </w:r>
      <w:r>
        <w:t xml:space="preserve">or</w:t>
      </w:r>
      <w:r>
        <w:t xml:space="preserve"> </w:t>
      </w:r>
      <w:r>
        <w:t xml:space="preserve">“Sensor,”</w:t>
      </w:r>
      <w:r>
        <w:t xml:space="preserve"> </w:t>
      </w:r>
      <w:r>
        <w:t xml:space="preserve">may be created.</w:t>
      </w:r>
    </w:p>
    <w:p>
      <w:pPr>
        <w:pStyle w:val="BodyText"/>
      </w:pPr>
      <w:r>
        <w:t xml:space="preserve">The creation of entities like</w:t>
      </w:r>
      <w:r>
        <w:t xml:space="preserve"> </w:t>
      </w:r>
      <w:r>
        <w:t xml:space="preserve">“Datastream”</w:t>
      </w:r>
      <w:r>
        <w:t xml:space="preserve"> </w:t>
      </w:r>
      <w:r>
        <w:t xml:space="preserve">and</w:t>
      </w:r>
      <w:r>
        <w:t xml:space="preserve"> </w:t>
      </w:r>
      <w:r>
        <w:t xml:space="preserve">“Thing”</w:t>
      </w:r>
      <w:r>
        <w:t xml:space="preserve"> </w:t>
      </w:r>
      <w:r>
        <w:t xml:space="preserve">requires several mandatory properties that shall be known at configuration time (e.g.,</w:t>
      </w:r>
      <w:r>
        <w:t xml:space="preserve"> </w:t>
      </w:r>
      <w:r>
        <w:t xml:space="preserve">‘name’</w:t>
      </w:r>
      <w:r>
        <w:t xml:space="preserve"> </w:t>
      </w:r>
      <w:r>
        <w:t xml:space="preserve">and</w:t>
      </w:r>
      <w:r>
        <w:t xml:space="preserve"> </w:t>
      </w:r>
      <w:r>
        <w:t xml:space="preserve">‘description’</w:t>
      </w:r>
      <w:r>
        <w:t xml:space="preserve">). These property fields may be automatically derived, for example, from the</w:t>
      </w:r>
      <w:r>
        <w:t xml:space="preserve"> </w:t>
      </w:r>
      <w:r>
        <w:t xml:space="preserve">“Label”</w:t>
      </w:r>
      <w:r>
        <w:t xml:space="preserve"> </w:t>
      </w:r>
      <w:r>
        <w:t xml:space="preserve">or</w:t>
      </w:r>
      <w:r>
        <w:t xml:space="preserve"> </w:t>
      </w:r>
      <w:r>
        <w:t xml:space="preserve">“ResourceName”</w:t>
      </w:r>
      <w:r>
        <w:t xml:space="preserve"> </w:t>
      </w:r>
      <w:r>
        <w:t xml:space="preserve">attributes of the corresponding oneM2M</w:t>
      </w:r>
      <w:r>
        <w:t xml:space="preserve"> </w:t>
      </w:r>
      <w:r>
        <w:rPr>
          <w:rStyle w:val="VerbatimChar"/>
          <w:i/>
          <w:iCs/>
        </w:rPr>
        <w:t xml:space="preserve">&lt;container&gt;</w:t>
      </w:r>
      <w:r>
        <w:t xml:space="preserve"> </w:t>
      </w:r>
      <w:r>
        <w:t xml:space="preserve">resource or if existing, from the corresponding</w:t>
      </w:r>
      <w:r>
        <w:t xml:space="preserve"> </w:t>
      </w:r>
      <w:r>
        <w:rPr>
          <w:rStyle w:val="VerbatimChar"/>
          <w:i/>
          <w:iCs/>
        </w:rPr>
        <w:t xml:space="preserve">&lt;AE&gt;</w:t>
      </w:r>
      <w:r>
        <w:t xml:space="preserve"> </w:t>
      </w:r>
      <w:r>
        <w:t xml:space="preserve">resource during IPE configuration. The OGC/STA procedures for creating OGC entities are described in SensorThing API documentation</w:t>
      </w:r>
      <w:r>
        <w:t xml:space="preserve"> </w:t>
      </w:r>
      <w:r>
        <w:t xml:space="preserve">[i.1]</w:t>
      </w:r>
      <w:r>
        <w:t xml:space="preserve">.</w:t>
      </w:r>
    </w:p>
    <w:p>
      <w:pPr>
        <w:pStyle w:val="BodyText"/>
      </w:pPr>
      <w:r>
        <w:t xml:space="preserve">Once the destination-</w:t>
      </w:r>
      <w:r>
        <w:t xml:space="preserve">“Datastream”</w:t>
      </w:r>
      <w:r>
        <w:t xml:space="preserve"> </w:t>
      </w:r>
      <w:r>
        <w:t xml:space="preserve">is created, the IPE can send an</w:t>
      </w:r>
      <w:r>
        <w:t xml:space="preserve"> </w:t>
      </w:r>
      <w:r>
        <w:t xml:space="preserve">“Observation”</w:t>
      </w:r>
      <w:r>
        <w:t xml:space="preserve"> </w:t>
      </w:r>
      <w:r>
        <w:t xml:space="preserve">to the OGC/STA server as HTTP POST message. An interested OGC/STA client can subscribe to the destination-</w:t>
      </w:r>
      <w:r>
        <w:t xml:space="preserve">“Datastream”</w:t>
      </w:r>
      <w:r>
        <w:t xml:space="preserve"> </w:t>
      </w:r>
      <w:r>
        <w:t xml:space="preserve">at the MQTT Broker of the OGC/STA server to receive each</w:t>
      </w:r>
      <w:r>
        <w:t xml:space="preserve"> </w:t>
      </w:r>
      <w:r>
        <w:t xml:space="preserve">“Observation”</w:t>
      </w:r>
      <w:r>
        <w:t xml:space="preserve"> </w:t>
      </w:r>
      <w:r>
        <w:t xml:space="preserve">forwarded by the IPE (see Figure 6.3.1.2-1). Alternatively, the OGC/STA client may use an HTTP-GET request to retrieve the data as needed.</w:t>
      </w:r>
    </w:p>
    <w:p>
      <w:pPr>
        <w:pStyle w:val="CaptionedFigure"/>
      </w:pPr>
      <w:r>
        <w:drawing>
          <wp:inline>
            <wp:extent cx="5689291" cy="1183995"/>
            <wp:effectExtent b="0" l="0" r="0" t="0"/>
            <wp:docPr descr="Figure 6.3.1.2-1: Message flow from IPE to OGC/STA Server to OGC/STA Client" title="" id="65" name="Picture"/>
            <a:graphic>
              <a:graphicData uri="http://schemas.openxmlformats.org/drawingml/2006/picture">
                <pic:pic>
                  <pic:nvPicPr>
                    <pic:cNvPr descr="media/config_ogc2.png" id="66" name="Picture"/>
                    <pic:cNvPicPr>
                      <a:picLocks noChangeArrowheads="1" noChangeAspect="1"/>
                    </pic:cNvPicPr>
                  </pic:nvPicPr>
                  <pic:blipFill>
                    <a:blip r:embed="rId64"/>
                    <a:stretch>
                      <a:fillRect/>
                    </a:stretch>
                  </pic:blipFill>
                  <pic:spPr bwMode="auto">
                    <a:xfrm>
                      <a:off x="0" y="0"/>
                      <a:ext cx="5689291" cy="1183995"/>
                    </a:xfrm>
                    <a:prstGeom prst="rect">
                      <a:avLst/>
                    </a:prstGeom>
                    <a:noFill/>
                    <a:ln w="9525">
                      <a:noFill/>
                      <a:headEnd/>
                      <a:tailEnd/>
                    </a:ln>
                  </pic:spPr>
                </pic:pic>
              </a:graphicData>
            </a:graphic>
          </wp:inline>
        </w:drawing>
      </w:r>
    </w:p>
    <w:p>
      <w:pPr>
        <w:pStyle w:val="ImageCaption"/>
      </w:pPr>
      <w:r>
        <w:t xml:space="preserve">Figure 6.3.1.2-1: Message flow from IPE to OGC/STA Server to OGC/STA Client</w:t>
      </w:r>
    </w:p>
    <w:bookmarkEnd w:id="67"/>
    <w:bookmarkEnd w:id="68"/>
    <w:bookmarkStart w:id="87" w:name="configuration-of-the-onem2m-cse"/>
    <w:p>
      <w:pPr>
        <w:pStyle w:val="Heading3"/>
      </w:pPr>
      <w:r>
        <w:t xml:space="preserve">6.3.2 Configuration of the oneM2M CSE</w:t>
      </w:r>
    </w:p>
    <w:bookmarkStart w:id="72" w:name="general-configuration-aspects"/>
    <w:p>
      <w:pPr>
        <w:pStyle w:val="Heading4"/>
      </w:pPr>
      <w:r>
        <w:t xml:space="preserve">6.3.2.0 General Configuration Aspects</w:t>
      </w:r>
    </w:p>
    <w:p>
      <w:pPr>
        <w:pStyle w:val="FirstParagraph"/>
      </w:pPr>
      <w:r>
        <w:t xml:space="preserve">The IPE needs to perform configuration steps on the hosting CSE.</w:t>
      </w:r>
    </w:p>
    <w:p>
      <w:pPr>
        <w:pStyle w:val="BodyText"/>
      </w:pPr>
      <w:r>
        <w:t xml:space="preserve">The IPE shall register itself as an Application Entity (AE) that is represented as an</w:t>
      </w:r>
      <w:r>
        <w:t xml:space="preserve"> </w:t>
      </w:r>
      <w:r>
        <w:rPr>
          <w:rStyle w:val="VerbatimChar"/>
          <w:i/>
          <w:iCs/>
        </w:rPr>
        <w:t xml:space="preserve">&lt;AE&gt;</w:t>
      </w:r>
      <w:r>
        <w:t xml:space="preserve"> </w:t>
      </w:r>
      <w:r>
        <w:t xml:space="preserve">resource in a oneM2M resource tree.</w:t>
      </w:r>
    </w:p>
    <w:p>
      <w:pPr>
        <w:pStyle w:val="BodyText"/>
      </w:pPr>
      <w:r>
        <w:t xml:space="preserve">The CSE uses notifications to communicate new events to the IPE (AE). Therefore, the</w:t>
      </w:r>
      <w:r>
        <w:t xml:space="preserve"> </w:t>
      </w:r>
      <w:r>
        <w:rPr>
          <w:rStyle w:val="VerbatimChar"/>
          <w:i/>
          <w:iCs/>
        </w:rPr>
        <w:t xml:space="preserve">&lt;AE&gt;</w:t>
      </w:r>
      <w:r>
        <w:t xml:space="preserve"> </w:t>
      </w:r>
      <w:r>
        <w:t xml:space="preserve">resource shall have the</w:t>
      </w:r>
      <w:r>
        <w:t xml:space="preserve"> </w:t>
      </w:r>
      <w:r>
        <w:rPr>
          <w:i/>
          <w:iCs/>
        </w:rPr>
        <w:t xml:space="preserve">requestReachability</w:t>
      </w:r>
      <w:r>
        <w:t xml:space="preserve"> </w:t>
      </w:r>
      <w:r>
        <w:t xml:space="preserve">(rr) attribute set to</w:t>
      </w:r>
      <w:r>
        <w:t xml:space="preserve"> </w:t>
      </w:r>
      <w:r>
        <w:t xml:space="preserve">‘true’</w:t>
      </w:r>
      <w:r>
        <w:t xml:space="preserve">.</w:t>
      </w:r>
    </w:p>
    <w:p>
      <w:pPr>
        <w:pStyle w:val="BodyText"/>
      </w:pPr>
      <w:r>
        <w:t xml:space="preserve">The</w:t>
      </w:r>
      <w:r>
        <w:t xml:space="preserve"> </w:t>
      </w:r>
      <w:r>
        <w:rPr>
          <w:rStyle w:val="VerbatimChar"/>
          <w:i/>
          <w:iCs/>
        </w:rPr>
        <w:t xml:space="preserve">&lt;AE&gt;</w:t>
      </w:r>
      <w:r>
        <w:t xml:space="preserve"> </w:t>
      </w:r>
      <w:r>
        <w:t xml:space="preserve">resource shall have a</w:t>
      </w:r>
      <w:r>
        <w:t xml:space="preserve"> </w:t>
      </w:r>
      <w:r>
        <w:rPr>
          <w:i/>
          <w:iCs/>
        </w:rPr>
        <w:t xml:space="preserve">pointOfAccess</w:t>
      </w:r>
      <w:r>
        <w:t xml:space="preserve"> </w:t>
      </w:r>
      <w:r>
        <w:t xml:space="preserve">(poa) attribute giving the protocol and address that the IPE is going to use to receive notifications from the CSE.</w:t>
      </w:r>
    </w:p>
    <w:p>
      <w:pPr>
        <w:pStyle w:val="BodyText"/>
      </w:pPr>
      <w:r>
        <w:t xml:space="preserve">The message flow for the creation of an</w:t>
      </w:r>
      <w:r>
        <w:t xml:space="preserve"> </w:t>
      </w:r>
      <w:r>
        <w:rPr>
          <w:rStyle w:val="VerbatimChar"/>
          <w:i/>
          <w:iCs/>
        </w:rPr>
        <w:t xml:space="preserve">&lt;AE&gt;</w:t>
      </w:r>
      <w:r>
        <w:t xml:space="preserve"> </w:t>
      </w:r>
      <w:r>
        <w:t xml:space="preserve">resource is shown in Figure 6.3.2.0-1:</w:t>
      </w:r>
      <w:r>
        <w:t xml:space="preserve"> </w:t>
      </w:r>
      <w:r>
        <w:t xml:space="preserve">1) The IPE requests to register an</w:t>
      </w:r>
      <w:r>
        <w:t xml:space="preserve"> </w:t>
      </w:r>
      <w:r>
        <w:rPr>
          <w:rStyle w:val="VerbatimChar"/>
          <w:i/>
          <w:iCs/>
        </w:rPr>
        <w:t xml:space="preserve">&lt;AE&gt;</w:t>
      </w:r>
      <w:r>
        <w:t xml:space="preserve"> </w:t>
      </w:r>
      <w:r>
        <w:t xml:space="preserve">resource on the hosting CSE.</w:t>
      </w:r>
      <w:r>
        <w:t xml:space="preserve"> </w:t>
      </w:r>
      <w:r>
        <w:t xml:space="preserve">2) The hosting CSE evaluates the request, performs the appropriate checks, and registers the</w:t>
      </w:r>
      <w:r>
        <w:t xml:space="preserve"> </w:t>
      </w:r>
      <w:r>
        <w:rPr>
          <w:rStyle w:val="VerbatimChar"/>
          <w:i/>
          <w:iCs/>
        </w:rPr>
        <w:t xml:space="preserve">&lt;AE&gt;</w:t>
      </w:r>
      <w:r>
        <w:t xml:space="preserve"> </w:t>
      </w:r>
      <w:r>
        <w:t xml:space="preserve">resource.</w:t>
      </w:r>
      <w:r>
        <w:t xml:space="preserve"> </w:t>
      </w:r>
      <w:r>
        <w:t xml:space="preserve">3) The hosting CSE responds with a successful result response upon successful creation of the</w:t>
      </w:r>
      <w:r>
        <w:t xml:space="preserve"> </w:t>
      </w:r>
      <w:r>
        <w:rPr>
          <w:rStyle w:val="VerbatimChar"/>
          <w:i/>
          <w:iCs/>
        </w:rPr>
        <w:t xml:space="preserve">&lt;AE&gt;</w:t>
      </w:r>
      <w:r>
        <w:t xml:space="preserve"> </w:t>
      </w:r>
      <w:r>
        <w:t xml:space="preserve">resource; otherwise, it responds with an error.</w:t>
      </w:r>
    </w:p>
    <w:p>
      <w:pPr>
        <w:pStyle w:val="CaptionedFigure"/>
      </w:pPr>
      <w:r>
        <w:drawing>
          <wp:inline>
            <wp:extent cx="4026433" cy="2074689"/>
            <wp:effectExtent b="0" l="0" r="0" t="0"/>
            <wp:docPr descr="Figure 6.3.2.0-1: Message flow of an &lt;AE&gt; resource creation in oneM2M" title="" id="70" name="Picture"/>
            <a:graphic>
              <a:graphicData uri="http://schemas.openxmlformats.org/drawingml/2006/picture">
                <pic:pic>
                  <pic:nvPicPr>
                    <pic:cNvPr descr="media/create_ae_flow.png" id="71" name="Picture"/>
                    <pic:cNvPicPr>
                      <a:picLocks noChangeArrowheads="1" noChangeAspect="1"/>
                    </pic:cNvPicPr>
                  </pic:nvPicPr>
                  <pic:blipFill>
                    <a:blip r:embed="rId69"/>
                    <a:stretch>
                      <a:fillRect/>
                    </a:stretch>
                  </pic:blipFill>
                  <pic:spPr bwMode="auto">
                    <a:xfrm>
                      <a:off x="0" y="0"/>
                      <a:ext cx="4026433" cy="2074689"/>
                    </a:xfrm>
                    <a:prstGeom prst="rect">
                      <a:avLst/>
                    </a:prstGeom>
                    <a:noFill/>
                    <a:ln w="9525">
                      <a:noFill/>
                      <a:headEnd/>
                      <a:tailEnd/>
                    </a:ln>
                  </pic:spPr>
                </pic:pic>
              </a:graphicData>
            </a:graphic>
          </wp:inline>
        </w:drawing>
      </w:r>
    </w:p>
    <w:p>
      <w:pPr>
        <w:pStyle w:val="ImageCaption"/>
      </w:pPr>
      <w:r>
        <w:t xml:space="preserve">Figure 6.3.2.0-1: Message flow of an</w:t>
      </w:r>
      <w:r>
        <w:t xml:space="preserve"> </w:t>
      </w:r>
      <w:r>
        <w:rPr>
          <w:rStyle w:val="VerbatimChar"/>
          <w:i/>
          <w:iCs/>
        </w:rPr>
        <w:t xml:space="preserve">&lt;AE&gt;</w:t>
      </w:r>
      <w:r>
        <w:t xml:space="preserve"> </w:t>
      </w:r>
      <w:r>
        <w:t xml:space="preserve">resource creation in oneM2M</w:t>
      </w:r>
    </w:p>
    <w:bookmarkEnd w:id="72"/>
    <w:bookmarkStart w:id="82" w:name="X48adffedc2410e0eb9b535a3d533068faa8ae7b"/>
    <w:p>
      <w:pPr>
        <w:pStyle w:val="Heading4"/>
      </w:pPr>
      <w:r>
        <w:t xml:space="preserve">6.3.2.1 Communication direction oneM2M CSE towards IPE</w:t>
      </w:r>
    </w:p>
    <w:p>
      <w:pPr>
        <w:pStyle w:val="FirstParagraph"/>
      </w:pPr>
      <w:r>
        <w:t xml:space="preserve">It needs two</w:t>
      </w:r>
      <w:r>
        <w:t xml:space="preserve"> </w:t>
      </w:r>
      <w:r>
        <w:rPr>
          <w:rStyle w:val="VerbatimChar"/>
          <w:i/>
          <w:iCs/>
        </w:rPr>
        <w:t xml:space="preserve">&lt;container&gt;</w:t>
      </w:r>
      <w:r>
        <w:t xml:space="preserve"> </w:t>
      </w:r>
      <w:r>
        <w:t xml:space="preserve">resources in the CSE for the operation of the IPE, one for outgoing data and one for incoming data.</w:t>
      </w:r>
      <w:r>
        <w:t xml:space="preserve"> </w:t>
      </w:r>
      <w:r>
        <w:t xml:space="preserve">The</w:t>
      </w:r>
      <w:r>
        <w:t xml:space="preserve"> </w:t>
      </w:r>
      <w:r>
        <w:rPr>
          <w:rStyle w:val="VerbatimChar"/>
          <w:i/>
          <w:iCs/>
        </w:rPr>
        <w:t xml:space="preserve">&lt;container&gt;</w:t>
      </w:r>
      <w:r>
        <w:t xml:space="preserve"> </w:t>
      </w:r>
      <w:r>
        <w:t xml:space="preserve">resource that is appointed to hold the data to be forwarded to the OGC/STA side (outgoing data) has to be created, if not already existing.</w:t>
      </w:r>
    </w:p>
    <w:p>
      <w:pPr>
        <w:pStyle w:val="BodyText"/>
      </w:pPr>
      <w:r>
        <w:t xml:space="preserve">The message flow for the creation of a</w:t>
      </w:r>
      <w:r>
        <w:t xml:space="preserve"> </w:t>
      </w:r>
      <w:r>
        <w:rPr>
          <w:rStyle w:val="VerbatimChar"/>
          <w:i/>
          <w:iCs/>
        </w:rPr>
        <w:t xml:space="preserve">&lt;container&gt;</w:t>
      </w:r>
      <w:r>
        <w:t xml:space="preserve"> </w:t>
      </w:r>
      <w:r>
        <w:t xml:space="preserve">resource is shown in Figure 6.3.2.1-1:</w:t>
      </w:r>
      <w:r>
        <w:t xml:space="preserve"> </w:t>
      </w:r>
      <w:r>
        <w:t xml:space="preserve">1) The IPE sends a request to create a</w:t>
      </w:r>
      <w:r>
        <w:t xml:space="preserve"> </w:t>
      </w:r>
      <w:r>
        <w:rPr>
          <w:rStyle w:val="VerbatimChar"/>
          <w:i/>
          <w:iCs/>
        </w:rPr>
        <w:t xml:space="preserve">&lt;container&gt;</w:t>
      </w:r>
      <w:r>
        <w:t xml:space="preserve"> </w:t>
      </w:r>
      <w:r>
        <w:t xml:space="preserve">resource.</w:t>
      </w:r>
      <w:r>
        <w:t xml:space="preserve"> </w:t>
      </w:r>
      <w:r>
        <w:t xml:space="preserve">2) The hosting CSE evaluates the request, performs the appropriate checks, and creates the</w:t>
      </w:r>
      <w:r>
        <w:t xml:space="preserve"> </w:t>
      </w:r>
      <w:r>
        <w:rPr>
          <w:rStyle w:val="VerbatimChar"/>
          <w:i/>
          <w:iCs/>
        </w:rPr>
        <w:t xml:space="preserve">&lt;container&gt;</w:t>
      </w:r>
      <w:r>
        <w:t xml:space="preserve"> </w:t>
      </w:r>
      <w:r>
        <w:t xml:space="preserve">resource.</w:t>
      </w:r>
      <w:r>
        <w:t xml:space="preserve"> </w:t>
      </w:r>
      <w:r>
        <w:t xml:space="preserve">3) The hosting CSE responds with a successful result response upon successful creation of the</w:t>
      </w:r>
      <w:r>
        <w:t xml:space="preserve"> </w:t>
      </w:r>
      <w:r>
        <w:rPr>
          <w:rStyle w:val="VerbatimChar"/>
          <w:i/>
          <w:iCs/>
        </w:rPr>
        <w:t xml:space="preserve">&lt;container&gt;</w:t>
      </w:r>
      <w:r>
        <w:t xml:space="preserve"> </w:t>
      </w:r>
      <w:r>
        <w:t xml:space="preserve">resource; otherwise, it responds with an error.</w:t>
      </w:r>
    </w:p>
    <w:p>
      <w:pPr>
        <w:pStyle w:val="CaptionedFigure"/>
      </w:pPr>
      <w:r>
        <w:drawing>
          <wp:inline>
            <wp:extent cx="4479791" cy="2289842"/>
            <wp:effectExtent b="0" l="0" r="0" t="0"/>
            <wp:docPr descr="Figure 6.3.2.1-1: Message flow of an &lt;container&gt; resource creation in oneM2M" title="" id="74" name="Picture"/>
            <a:graphic>
              <a:graphicData uri="http://schemas.openxmlformats.org/drawingml/2006/picture">
                <pic:pic>
                  <pic:nvPicPr>
                    <pic:cNvPr descr="media/create_container_flow.png" id="75" name="Picture"/>
                    <pic:cNvPicPr>
                      <a:picLocks noChangeArrowheads="1" noChangeAspect="1"/>
                    </pic:cNvPicPr>
                  </pic:nvPicPr>
                  <pic:blipFill>
                    <a:blip r:embed="rId73"/>
                    <a:stretch>
                      <a:fillRect/>
                    </a:stretch>
                  </pic:blipFill>
                  <pic:spPr bwMode="auto">
                    <a:xfrm>
                      <a:off x="0" y="0"/>
                      <a:ext cx="4479791" cy="2289842"/>
                    </a:xfrm>
                    <a:prstGeom prst="rect">
                      <a:avLst/>
                    </a:prstGeom>
                    <a:noFill/>
                    <a:ln w="9525">
                      <a:noFill/>
                      <a:headEnd/>
                      <a:tailEnd/>
                    </a:ln>
                  </pic:spPr>
                </pic:pic>
              </a:graphicData>
            </a:graphic>
          </wp:inline>
        </w:drawing>
      </w:r>
    </w:p>
    <w:p>
      <w:pPr>
        <w:pStyle w:val="ImageCaption"/>
      </w:pPr>
      <w:r>
        <w:t xml:space="preserve">Figure 6.3.2.1-1: Message flow of an</w:t>
      </w:r>
      <w:r>
        <w:t xml:space="preserve"> </w:t>
      </w:r>
      <w:r>
        <w:rPr>
          <w:rStyle w:val="VerbatimChar"/>
          <w:i/>
          <w:iCs/>
        </w:rPr>
        <w:t xml:space="preserve">&lt;container&gt;</w:t>
      </w:r>
      <w:r>
        <w:t xml:space="preserve"> </w:t>
      </w:r>
      <w:r>
        <w:t xml:space="preserve">resource creation in oneM2M</w:t>
      </w:r>
    </w:p>
    <w:p>
      <w:pPr>
        <w:pStyle w:val="BodyText"/>
      </w:pPr>
      <w:r>
        <w:t xml:space="preserve">A</w:t>
      </w:r>
      <w:r>
        <w:t xml:space="preserve"> </w:t>
      </w:r>
      <w:r>
        <w:rPr>
          <w:rStyle w:val="VerbatimChar"/>
          <w:i/>
          <w:iCs/>
        </w:rPr>
        <w:t xml:space="preserve">&lt;subscription&gt;</w:t>
      </w:r>
      <w:r>
        <w:t xml:space="preserve"> </w:t>
      </w:r>
      <w:r>
        <w:t xml:space="preserve">resource shall be created under this</w:t>
      </w:r>
      <w:r>
        <w:t xml:space="preserve"> </w:t>
      </w:r>
      <w:r>
        <w:rPr>
          <w:rStyle w:val="VerbatimChar"/>
          <w:i/>
          <w:iCs/>
        </w:rPr>
        <w:t xml:space="preserve">&lt;container&gt;</w:t>
      </w:r>
      <w:r>
        <w:t xml:space="preserve"> </w:t>
      </w:r>
      <w:r>
        <w:t xml:space="preserve">resource.</w:t>
      </w:r>
    </w:p>
    <w:p>
      <w:pPr>
        <w:pStyle w:val="BodyText"/>
      </w:pPr>
      <w:r>
        <w:t xml:space="preserve">The</w:t>
      </w:r>
      <w:r>
        <w:t xml:space="preserve"> </w:t>
      </w:r>
      <w:r>
        <w:rPr>
          <w:rStyle w:val="VerbatimChar"/>
          <w:i/>
          <w:iCs/>
        </w:rPr>
        <w:t xml:space="preserve">&lt;subscription&gt;</w:t>
      </w:r>
      <w:r>
        <w:t xml:space="preserve"> </w:t>
      </w:r>
      <w:r>
        <w:t xml:space="preserve">resource shall have the</w:t>
      </w:r>
      <w:r>
        <w:t xml:space="preserve"> </w:t>
      </w:r>
      <w:r>
        <w:rPr>
          <w:i/>
          <w:iCs/>
        </w:rPr>
        <w:t xml:space="preserve">notificationURI</w:t>
      </w:r>
      <w:r>
        <w:t xml:space="preserve"> </w:t>
      </w:r>
      <w:r>
        <w:t xml:space="preserve">attribute set to the</w:t>
      </w:r>
      <w:r>
        <w:t xml:space="preserve"> </w:t>
      </w:r>
      <w:r>
        <w:rPr>
          <w:i/>
          <w:iCs/>
        </w:rPr>
        <w:t xml:space="preserve">resourceID</w:t>
      </w:r>
      <w:r>
        <w:t xml:space="preserve"> </w:t>
      </w:r>
      <w:r>
        <w:t xml:space="preserve">of the</w:t>
      </w:r>
      <w:r>
        <w:t xml:space="preserve"> </w:t>
      </w:r>
      <w:r>
        <w:rPr>
          <w:rStyle w:val="VerbatimChar"/>
          <w:i/>
          <w:iCs/>
        </w:rPr>
        <w:t xml:space="preserve">&lt;AE&gt;</w:t>
      </w:r>
      <w:r>
        <w:t xml:space="preserve"> </w:t>
      </w:r>
      <w:r>
        <w:t xml:space="preserve">resource.</w:t>
      </w:r>
    </w:p>
    <w:p>
      <w:pPr>
        <w:pStyle w:val="BodyText"/>
      </w:pPr>
      <w:r>
        <w:t xml:space="preserve">The message flow for the creation of an</w:t>
      </w:r>
      <w:r>
        <w:t xml:space="preserve"> </w:t>
      </w:r>
      <w:r>
        <w:rPr>
          <w:rStyle w:val="VerbatimChar"/>
          <w:i/>
          <w:iCs/>
        </w:rPr>
        <w:t xml:space="preserve">&lt;subscription&gt;</w:t>
      </w:r>
      <w:r>
        <w:t xml:space="preserve"> </w:t>
      </w:r>
      <w:r>
        <w:t xml:space="preserve">resource is shown in Figure 6.3.2.1-2:</w:t>
      </w:r>
      <w:r>
        <w:t xml:space="preserve"> </w:t>
      </w:r>
      <w:r>
        <w:t xml:space="preserve">1) The IPE sends a creation request for a</w:t>
      </w:r>
      <w:r>
        <w:t xml:space="preserve"> </w:t>
      </w:r>
      <w:r>
        <w:rPr>
          <w:rStyle w:val="VerbatimChar"/>
          <w:i/>
          <w:iCs/>
        </w:rPr>
        <w:t xml:space="preserve">&lt;subscription&gt;</w:t>
      </w:r>
      <w:r>
        <w:t xml:space="preserve"> </w:t>
      </w:r>
      <w:r>
        <w:t xml:space="preserve">resource to the</w:t>
      </w:r>
      <w:r>
        <w:t xml:space="preserve"> </w:t>
      </w:r>
      <w:r>
        <w:rPr>
          <w:rStyle w:val="VerbatimChar"/>
          <w:i/>
          <w:iCs/>
        </w:rPr>
        <w:t xml:space="preserve">&lt;container&gt;</w:t>
      </w:r>
      <w:r>
        <w:t xml:space="preserve"> </w:t>
      </w:r>
      <w:r>
        <w:t xml:space="preserve">resource that is appointed to hold the data to be forwarded to the OGC/STA side.</w:t>
      </w:r>
      <w:r>
        <w:t xml:space="preserve"> </w:t>
      </w:r>
      <w:r>
        <w:t xml:space="preserve">2) The hosting CSE evaluates the request and performs the appropriate checks and creates the</w:t>
      </w:r>
      <w:r>
        <w:t xml:space="preserve"> </w:t>
      </w:r>
      <w:r>
        <w:rPr>
          <w:rStyle w:val="VerbatimChar"/>
          <w:i/>
          <w:iCs/>
        </w:rPr>
        <w:t xml:space="preserve">&lt;subscription&gt;</w:t>
      </w:r>
      <w:r>
        <w:t xml:space="preserve"> </w:t>
      </w:r>
      <w:r>
        <w:t xml:space="preserve">resource.</w:t>
      </w:r>
      <w:r>
        <w:t xml:space="preserve"> </w:t>
      </w:r>
      <w:r>
        <w:t xml:space="preserve">3) The hosting CSE responds with a successful result response of the</w:t>
      </w:r>
      <w:r>
        <w:t xml:space="preserve"> </w:t>
      </w:r>
      <w:r>
        <w:rPr>
          <w:rStyle w:val="VerbatimChar"/>
          <w:i/>
          <w:iCs/>
        </w:rPr>
        <w:t xml:space="preserve">&lt;subscription&gt;</w:t>
      </w:r>
      <w:r>
        <w:t xml:space="preserve"> </w:t>
      </w:r>
      <w:r>
        <w:t xml:space="preserve">resource creation; otherwise, it responds with an error.</w:t>
      </w:r>
    </w:p>
    <w:p>
      <w:pPr>
        <w:pStyle w:val="CaptionedFigure"/>
      </w:pPr>
      <w:r>
        <w:drawing>
          <wp:inline>
            <wp:extent cx="4510527" cy="2289842"/>
            <wp:effectExtent b="0" l="0" r="0" t="0"/>
            <wp:docPr descr="Figure 6.3.2.1-2: Message flow of an &lt;subscription&gt; resource creation in oneM2M" title="" id="77" name="Picture"/>
            <a:graphic>
              <a:graphicData uri="http://schemas.openxmlformats.org/drawingml/2006/picture">
                <pic:pic>
                  <pic:nvPicPr>
                    <pic:cNvPr descr="media/create_subscription_flow1.png" id="78" name="Picture"/>
                    <pic:cNvPicPr>
                      <a:picLocks noChangeArrowheads="1" noChangeAspect="1"/>
                    </pic:cNvPicPr>
                  </pic:nvPicPr>
                  <pic:blipFill>
                    <a:blip r:embed="rId76"/>
                    <a:stretch>
                      <a:fillRect/>
                    </a:stretch>
                  </pic:blipFill>
                  <pic:spPr bwMode="auto">
                    <a:xfrm>
                      <a:off x="0" y="0"/>
                      <a:ext cx="4510527" cy="2289842"/>
                    </a:xfrm>
                    <a:prstGeom prst="rect">
                      <a:avLst/>
                    </a:prstGeom>
                    <a:noFill/>
                    <a:ln w="9525">
                      <a:noFill/>
                      <a:headEnd/>
                      <a:tailEnd/>
                    </a:ln>
                  </pic:spPr>
                </pic:pic>
              </a:graphicData>
            </a:graphic>
          </wp:inline>
        </w:drawing>
      </w:r>
    </w:p>
    <w:p>
      <w:pPr>
        <w:pStyle w:val="ImageCaption"/>
      </w:pPr>
      <w:r>
        <w:t xml:space="preserve">Figure 6.3.2.1-2: Message flow of an</w:t>
      </w:r>
      <w:r>
        <w:t xml:space="preserve"> </w:t>
      </w:r>
      <w:r>
        <w:rPr>
          <w:rStyle w:val="VerbatimChar"/>
          <w:i/>
          <w:iCs/>
        </w:rPr>
        <w:t xml:space="preserve">&lt;subscription&gt;</w:t>
      </w:r>
      <w:r>
        <w:t xml:space="preserve"> </w:t>
      </w:r>
      <w:r>
        <w:t xml:space="preserve">resource creation in oneM2M</w:t>
      </w:r>
    </w:p>
    <w:p>
      <w:pPr>
        <w:pStyle w:val="BodyText"/>
      </w:pPr>
      <w:r>
        <w:t xml:space="preserve">The CSE is now prepared to send data from oneM2M to OGC / STA via the IPE. As shown in Figure 6.3.2.1-3, a oneM2M Application Entity (AE), triggered by a sensor, sends data to the CSE by creating a</w:t>
      </w:r>
      <w:r>
        <w:t xml:space="preserve"> </w:t>
      </w:r>
      <w:r>
        <w:rPr>
          <w:rStyle w:val="VerbatimChar"/>
          <w:i/>
          <w:iCs/>
        </w:rPr>
        <w:t xml:space="preserve">&lt;contentInstance&gt;</w:t>
      </w:r>
      <w:r>
        <w:t xml:space="preserve"> </w:t>
      </w:r>
      <w:r>
        <w:t xml:space="preserve">resource under the</w:t>
      </w:r>
      <w:r>
        <w:t xml:space="preserve"> </w:t>
      </w:r>
      <w:r>
        <w:rPr>
          <w:rStyle w:val="VerbatimChar"/>
          <w:i/>
          <w:iCs/>
        </w:rPr>
        <w:t xml:space="preserve">&lt;container&gt;</w:t>
      </w:r>
      <w:r>
        <w:t xml:space="preserve"> </w:t>
      </w:r>
      <w:r>
        <w:t xml:space="preserve">resource that was appointed for outgoing data.</w:t>
      </w:r>
      <w:r>
        <w:t xml:space="preserve"> </w:t>
      </w:r>
      <w:r>
        <w:t xml:space="preserve">Since the IPE has subscribed to this</w:t>
      </w:r>
      <w:r>
        <w:t xml:space="preserve"> </w:t>
      </w:r>
      <w:r>
        <w:rPr>
          <w:rStyle w:val="VerbatimChar"/>
          <w:i/>
          <w:iCs/>
        </w:rPr>
        <w:t xml:space="preserve">&lt;container&gt;</w:t>
      </w:r>
      <w:r>
        <w:t xml:space="preserve"> </w:t>
      </w:r>
      <w:r>
        <w:t xml:space="preserve">resource it receives a notification message along with all attributes of the</w:t>
      </w:r>
      <w:r>
        <w:t xml:space="preserve"> </w:t>
      </w:r>
      <w:r>
        <w:rPr>
          <w:rStyle w:val="VerbatimChar"/>
          <w:i/>
          <w:iCs/>
        </w:rPr>
        <w:t xml:space="preserve">&lt;contentInstance&gt;</w:t>
      </w:r>
      <w:r>
        <w:t xml:space="preserve"> </w:t>
      </w:r>
      <w:r>
        <w:t xml:space="preserve">resource when new data arrives. The IPE maps the data from oneM2M to OGC / STA as described in 6.1 .</w:t>
      </w:r>
    </w:p>
    <w:p>
      <w:pPr>
        <w:pStyle w:val="CaptionedFigure"/>
      </w:pPr>
      <w:r>
        <w:drawing>
          <wp:inline>
            <wp:extent cx="5689291" cy="931075"/>
            <wp:effectExtent b="0" l="0" r="0" t="0"/>
            <wp:docPr descr="Figure 6.3.2.1-3: Message flow from AE to CSE to IPE" title="" id="80" name="Picture"/>
            <a:graphic>
              <a:graphicData uri="http://schemas.openxmlformats.org/drawingml/2006/picture">
                <pic:pic>
                  <pic:nvPicPr>
                    <pic:cNvPr descr="media/config_cse1.png" id="81" name="Picture"/>
                    <pic:cNvPicPr>
                      <a:picLocks noChangeArrowheads="1" noChangeAspect="1"/>
                    </pic:cNvPicPr>
                  </pic:nvPicPr>
                  <pic:blipFill>
                    <a:blip r:embed="rId79"/>
                    <a:stretch>
                      <a:fillRect/>
                    </a:stretch>
                  </pic:blipFill>
                  <pic:spPr bwMode="auto">
                    <a:xfrm>
                      <a:off x="0" y="0"/>
                      <a:ext cx="5689291" cy="931075"/>
                    </a:xfrm>
                    <a:prstGeom prst="rect">
                      <a:avLst/>
                    </a:prstGeom>
                    <a:noFill/>
                    <a:ln w="9525">
                      <a:noFill/>
                      <a:headEnd/>
                      <a:tailEnd/>
                    </a:ln>
                  </pic:spPr>
                </pic:pic>
              </a:graphicData>
            </a:graphic>
          </wp:inline>
        </w:drawing>
      </w:r>
    </w:p>
    <w:p>
      <w:pPr>
        <w:pStyle w:val="ImageCaption"/>
      </w:pPr>
      <w:r>
        <w:t xml:space="preserve">Figure 6.3.2.1-3: Message flow from AE to CSE to IPE</w:t>
      </w:r>
    </w:p>
    <w:bookmarkEnd w:id="82"/>
    <w:bookmarkStart w:id="86" w:name="X22743badcb57e18f9099c90432b994ad4e35f87"/>
    <w:p>
      <w:pPr>
        <w:pStyle w:val="Heading4"/>
      </w:pPr>
      <w:r>
        <w:t xml:space="preserve">6.3.2.2 Communication direction IPE towards oneM2M CSE</w:t>
      </w:r>
    </w:p>
    <w:p>
      <w:pPr>
        <w:pStyle w:val="FirstParagraph"/>
      </w:pPr>
      <w:r>
        <w:t xml:space="preserve">The</w:t>
      </w:r>
      <w:r>
        <w:t xml:space="preserve"> </w:t>
      </w:r>
      <w:r>
        <w:rPr>
          <w:rStyle w:val="VerbatimChar"/>
          <w:i/>
          <w:iCs/>
        </w:rPr>
        <w:t xml:space="preserve">&lt;container&gt;</w:t>
      </w:r>
      <w:r>
        <w:t xml:space="preserve"> </w:t>
      </w:r>
      <w:r>
        <w:t xml:space="preserve">resource that is appointed to hold the data from the OGC/STA side (incoming data) has to be created, if not already existing.</w:t>
      </w:r>
      <w:r>
        <w:t xml:space="preserve"> </w:t>
      </w:r>
      <w:r>
        <w:t xml:space="preserve">The message flow for the creation of a</w:t>
      </w:r>
      <w:r>
        <w:t xml:space="preserve"> </w:t>
      </w:r>
      <w:r>
        <w:rPr>
          <w:rStyle w:val="VerbatimChar"/>
          <w:i/>
          <w:iCs/>
        </w:rPr>
        <w:t xml:space="preserve">&lt;container&gt;</w:t>
      </w:r>
      <w:r>
        <w:t xml:space="preserve"> </w:t>
      </w:r>
      <w:r>
        <w:t xml:space="preserve">resource is shown in Figure 6.3.2.1-1.</w:t>
      </w:r>
    </w:p>
    <w:p>
      <w:pPr>
        <w:pStyle w:val="BodyText"/>
      </w:pPr>
      <w:r>
        <w:t xml:space="preserve">The CSE is now prepared to receive data from OGC / STA via the IPE. The IPE sends data as</w:t>
      </w:r>
      <w:r>
        <w:t xml:space="preserve"> </w:t>
      </w:r>
      <w:r>
        <w:rPr>
          <w:rStyle w:val="VerbatimChar"/>
          <w:i/>
          <w:iCs/>
        </w:rPr>
        <w:t xml:space="preserve">&lt;contentInstance&gt;</w:t>
      </w:r>
      <w:r>
        <w:t xml:space="preserve"> </w:t>
      </w:r>
      <w:r>
        <w:t xml:space="preserve">resources to the dedicated</w:t>
      </w:r>
      <w:r>
        <w:t xml:space="preserve"> </w:t>
      </w:r>
      <w:r>
        <w:rPr>
          <w:rStyle w:val="VerbatimChar"/>
          <w:i/>
          <w:iCs/>
        </w:rPr>
        <w:t xml:space="preserve">&lt;container&gt;</w:t>
      </w:r>
      <w:r>
        <w:t xml:space="preserve"> </w:t>
      </w:r>
      <w:r>
        <w:t xml:space="preserve">resource. If other oneM2M Application Entities are interested in this data, they may subscribe to the dedicated</w:t>
      </w:r>
      <w:r>
        <w:t xml:space="preserve"> </w:t>
      </w:r>
      <w:r>
        <w:rPr>
          <w:rStyle w:val="VerbatimChar"/>
          <w:i/>
          <w:iCs/>
        </w:rPr>
        <w:t xml:space="preserve">&lt;container&gt;</w:t>
      </w:r>
      <w:r>
        <w:t xml:space="preserve"> </w:t>
      </w:r>
      <w:r>
        <w:t xml:space="preserve">resource. Alternatively, they can retrieve</w:t>
      </w:r>
      <w:r>
        <w:t xml:space="preserve"> </w:t>
      </w:r>
      <w:r>
        <w:rPr>
          <w:rStyle w:val="VerbatimChar"/>
          <w:i/>
          <w:iCs/>
        </w:rPr>
        <w:t xml:space="preserve">&lt;contentInstance&gt;</w:t>
      </w:r>
      <w:r>
        <w:t xml:space="preserve"> </w:t>
      </w:r>
      <w:r>
        <w:t xml:space="preserve">resources from it in polling mode.</w:t>
      </w:r>
    </w:p>
    <w:p>
      <w:pPr>
        <w:pStyle w:val="BodyText"/>
      </w:pPr>
      <w:r>
        <w:t xml:space="preserve">In Figure 6.3.2.2-1, the IPE (AE) sends data as</w:t>
      </w:r>
      <w:r>
        <w:t xml:space="preserve"> </w:t>
      </w:r>
      <w:r>
        <w:rPr>
          <w:rStyle w:val="VerbatimChar"/>
          <w:i/>
          <w:iCs/>
        </w:rPr>
        <w:t xml:space="preserve">&lt;contentInstance&gt;</w:t>
      </w:r>
      <w:r>
        <w:t xml:space="preserve"> </w:t>
      </w:r>
      <w:r>
        <w:t xml:space="preserve">resources to the dedicated</w:t>
      </w:r>
      <w:r>
        <w:t xml:space="preserve"> </w:t>
      </w:r>
      <w:r>
        <w:rPr>
          <w:rStyle w:val="VerbatimChar"/>
          <w:i/>
          <w:iCs/>
        </w:rPr>
        <w:t xml:space="preserve">&lt;container&gt;</w:t>
      </w:r>
      <w:r>
        <w:t xml:space="preserve"> </w:t>
      </w:r>
      <w:r>
        <w:t xml:space="preserve">resource. Subsequently, the AE receives a notification along with data contained in a</w:t>
      </w:r>
      <w:r>
        <w:t xml:space="preserve"> </w:t>
      </w:r>
      <w:r>
        <w:rPr>
          <w:rStyle w:val="VerbatimChar"/>
          <w:i/>
          <w:iCs/>
        </w:rPr>
        <w:t xml:space="preserve">&lt;contentInstance&gt;</w:t>
      </w:r>
      <w:r>
        <w:t xml:space="preserve"> </w:t>
      </w:r>
      <w:r>
        <w:t xml:space="preserve">resource every time when the IPE creates new data.</w:t>
      </w:r>
    </w:p>
    <w:p>
      <w:pPr>
        <w:pStyle w:val="CaptionedFigure"/>
      </w:pPr>
      <w:r>
        <w:drawing>
          <wp:inline>
            <wp:extent cx="5686511" cy="922737"/>
            <wp:effectExtent b="0" l="0" r="0" t="0"/>
            <wp:docPr descr="Figure 6.3.2.2-1: Data message flow from IPE to CSE to AE" title="" id="84" name="Picture"/>
            <a:graphic>
              <a:graphicData uri="http://schemas.openxmlformats.org/drawingml/2006/picture">
                <pic:pic>
                  <pic:nvPicPr>
                    <pic:cNvPr descr="media/config_cse23.png" id="85" name="Picture"/>
                    <pic:cNvPicPr>
                      <a:picLocks noChangeArrowheads="1" noChangeAspect="1"/>
                    </pic:cNvPicPr>
                  </pic:nvPicPr>
                  <pic:blipFill>
                    <a:blip r:embed="rId83"/>
                    <a:stretch>
                      <a:fillRect/>
                    </a:stretch>
                  </pic:blipFill>
                  <pic:spPr bwMode="auto">
                    <a:xfrm>
                      <a:off x="0" y="0"/>
                      <a:ext cx="5686511" cy="922737"/>
                    </a:xfrm>
                    <a:prstGeom prst="rect">
                      <a:avLst/>
                    </a:prstGeom>
                    <a:noFill/>
                    <a:ln w="9525">
                      <a:noFill/>
                      <a:headEnd/>
                      <a:tailEnd/>
                    </a:ln>
                  </pic:spPr>
                </pic:pic>
              </a:graphicData>
            </a:graphic>
          </wp:inline>
        </w:drawing>
      </w:r>
    </w:p>
    <w:p>
      <w:pPr>
        <w:pStyle w:val="ImageCaption"/>
      </w:pPr>
      <w:r>
        <w:t xml:space="preserve">Figure 6.3.2.2-1: Data message flow from IPE to CSE to AE</w:t>
      </w:r>
    </w:p>
    <w:bookmarkEnd w:id="86"/>
    <w:bookmarkEnd w:id="87"/>
    <w:bookmarkEnd w:id="88"/>
    <w:bookmarkEnd w:id="89"/>
    <w:bookmarkStart w:id="91" w:name="proforma-copyright-release-text-block"/>
    <w:p>
      <w:pPr>
        <w:pStyle w:val="Heading1"/>
      </w:pPr>
      <w:r>
        <w:t xml:space="preserve">Proforma copyright release text block</w:t>
      </w:r>
    </w:p>
    <w:p>
      <w:pPr>
        <w:pStyle w:val="FirstParagraph"/>
      </w:pPr>
      <w:r>
        <w:t xml:space="preserve">This text box shall immediately follow after the heading of an element (i.e. clause or annex) containing a proforma or template which is intended to be copied by the user. Such an element shall always start on a new page.</w:t>
      </w:r>
    </w:p>
    <w:tbl>
      <w:tblPr>
        <w:tblStyle w:val="Table"/>
        <w:tblW w:type="pct" w:w="5000"/>
        <w:tblLayout w:type="fixed"/>
        <w:tblLook w:firstRow="1" w:lastRow="0" w:firstColumn="0" w:lastColumn="0" w:noHBand="0" w:noVBand="0" w:val="0020"/>
      </w:tblPr>
      <w:tblGrid>
        <w:gridCol w:w="7920"/>
      </w:tblGrid>
      <w:tr>
        <w:trPr>
          <w:tblHeader w:val="on"/>
        </w:trPr>
        <w:tc>
          <w:tcPr/>
          <w:p>
            <w:pPr>
              <w:pStyle w:val="Compact"/>
            </w:pPr>
            <w:r>
              <w:t xml:space="preserve">Notwithstanding the provisions of the copyright clause related to the text of the present document, oneM2M grants that users of the present document may freely reproduce the &lt;proformatype&gt; proforma in this {clause|annex} so that it can be used for its intended purposes and may further publish the completed &lt;proformatype&gt;.</w:t>
            </w:r>
          </w:p>
        </w:tc>
      </w:tr>
    </w:tbl>
    <w:p>
      <w:pPr>
        <w:pStyle w:val="BodyText"/>
      </w:pPr>
      <w:r>
        <w:t xml:space="preserve">&lt;PAGE BREAK&gt;</w:t>
      </w:r>
    </w:p>
    <w:bookmarkStart w:id="90" w:name="annexes"/>
    <w:p>
      <w:pPr>
        <w:pStyle w:val="Heading2"/>
      </w:pPr>
      <w:r>
        <w:t xml:space="preserve">Annexes</w:t>
      </w:r>
    </w:p>
    <w:p>
      <w:pPr>
        <w:pStyle w:val="FirstParagraph"/>
      </w:pPr>
      <w:r>
        <w:t xml:space="preserve">Each annex shall start on a new page (insert a page break between annexes A and B, annexes B and C, etc.).</w:t>
      </w:r>
    </w:p>
    <w:p>
      <w:pPr>
        <w:pStyle w:val="BodyText"/>
      </w:pPr>
      <w:r>
        <w:t xml:space="preserve">Use the Heading 9 style for the title and the Normal style for the text.</w:t>
      </w:r>
    </w:p>
    <w:bookmarkEnd w:id="90"/>
    <w:bookmarkEnd w:id="91"/>
    <w:bookmarkStart w:id="92" w:name="X0ae8f8eb540616f6984bcfd8e54052ffa35f821"/>
    <w:p>
      <w:pPr>
        <w:pStyle w:val="Heading1"/>
      </w:pPr>
      <w:r>
        <w:t xml:space="preserve">Annex &lt;A&gt; (Informative/Normative):</w:t>
      </w:r>
      <w:r>
        <w:t xml:space="preserve">Remove Informative or Normative as appropriat</w:t>
      </w:r>
      <w:r>
        <w:t xml:space="preserve"> </w:t>
      </w:r>
      <w:r>
        <w:t xml:space="preserve">Title of annex</w:t>
      </w:r>
      <w:r>
        <w:t xml:space="preserve"> </w:t>
      </w:r>
      <w:r>
        <w:t xml:space="preserve">(style H9)</w:t>
      </w:r>
    </w:p>
    <w:p>
      <w:pPr>
        <w:pStyle w:val="FirstParagraph"/>
      </w:pPr>
      <w:r>
        <w:t xml:space="preserve">&lt;Text&gt;</w:t>
      </w:r>
      <w:r>
        <w:br/>
      </w:r>
      <w:r>
        <w:t xml:space="preserve">&lt;PAGE BREAK&gt;</w:t>
      </w:r>
    </w:p>
    <w:bookmarkEnd w:id="92"/>
    <w:bookmarkStart w:id="95" w:name="X7535cc335873dd21bda77eddf0fdcea968e078f"/>
    <w:p>
      <w:pPr>
        <w:pStyle w:val="Heading1"/>
      </w:pPr>
      <w:r>
        <w:t xml:space="preserve">Annex &lt;B&gt; (Informative/Normative):</w:t>
      </w:r>
      <w:r>
        <w:t xml:space="preserve">Remove Informative or Normative as appropriat</w:t>
      </w:r>
      <w:r>
        <w:t xml:space="preserve"> </w:t>
      </w:r>
      <w:r>
        <w:t xml:space="preserve">Title of annex</w:t>
      </w:r>
      <w:r>
        <w:t xml:space="preserve"> </w:t>
      </w:r>
      <w:r>
        <w:t xml:space="preserve">(style H9)</w:t>
      </w:r>
    </w:p>
    <w:p>
      <w:pPr>
        <w:pStyle w:val="FirstParagraph"/>
      </w:pPr>
      <w:r>
        <w:t xml:space="preserve">&lt;Text&gt;</w:t>
      </w:r>
    </w:p>
    <w:bookmarkStart w:id="94" w:name="b.1-first-clause-of-the-annex-style-h1"/>
    <w:p>
      <w:pPr>
        <w:pStyle w:val="Heading2"/>
      </w:pPr>
      <w:r>
        <w:t xml:space="preserve">B.1 First clause of the annex</w:t>
      </w:r>
      <w:r>
        <w:t xml:space="preserve"> </w:t>
      </w:r>
      <w:r>
        <w:t xml:space="preserve">(style H1)</w:t>
      </w:r>
    </w:p>
    <w:p>
      <w:pPr>
        <w:pStyle w:val="FirstParagraph"/>
      </w:pPr>
      <w:r>
        <w:t xml:space="preserve">&lt;Text&gt;</w:t>
      </w:r>
    </w:p>
    <w:bookmarkStart w:id="93" w:name="X62f9520d274b190c5aedb11b0ca14162c523fe0"/>
    <w:p>
      <w:pPr>
        <w:pStyle w:val="Heading3"/>
      </w:pPr>
      <w:r>
        <w:t xml:space="preserve">B.1.1 First subdivided clause of the annex</w:t>
      </w:r>
      <w:r>
        <w:t xml:space="preserve"> </w:t>
      </w:r>
      <w:r>
        <w:t xml:space="preserve">(style H2)</w:t>
      </w:r>
    </w:p>
    <w:p>
      <w:pPr>
        <w:pStyle w:val="FirstParagraph"/>
      </w:pPr>
      <w:r>
        <w:t xml:space="preserve">&lt;Text&gt;</w:t>
      </w:r>
    </w:p>
    <w:p>
      <w:pPr>
        <w:pStyle w:val="BodyText"/>
      </w:pPr>
      <w:r>
        <w:t xml:space="preserve">&lt;PAGE BREAK&gt;</w:t>
      </w:r>
    </w:p>
    <w:p>
      <w:pPr>
        <w:pStyle w:val="BodyText"/>
      </w:pPr>
      <w:r>
        <w:t xml:space="preserve">The following text is to be used when appropriate:</w:t>
      </w:r>
    </w:p>
    <w:bookmarkEnd w:id="93"/>
    <w:bookmarkEnd w:id="94"/>
    <w:bookmarkEnd w:id="95"/>
    <w:bookmarkStart w:id="96" w:name="annex-y"/>
    <w:p>
      <w:pPr>
        <w:pStyle w:val="Heading1"/>
      </w:pPr>
      <w:r>
        <w:t xml:space="preserve">Annex &lt;y&gt;:</w:t>
      </w:r>
      <w:r>
        <w:br/>
      </w:r>
    </w:p>
    <w:p>
      <w:pPr>
        <w:pStyle w:val="FirstParagraph"/>
      </w:pPr>
      <w:r>
        <w:t xml:space="preserve">Bibliography</w:t>
      </w:r>
      <w:r>
        <w:t xml:space="preserve"> </w:t>
      </w:r>
      <w:r>
        <w:t xml:space="preserve">The annex entitled</w:t>
      </w:r>
      <w:r>
        <w:t xml:space="preserve"> </w:t>
      </w:r>
      <w:r>
        <w:t xml:space="preserve">“Bibliography”</w:t>
      </w:r>
      <w:r>
        <w:t xml:space="preserve"> </w:t>
      </w:r>
      <w:r>
        <w:t xml:space="preserve">is optional.</w:t>
      </w:r>
    </w:p>
    <w:p>
      <w:pPr>
        <w:pStyle w:val="BodyText"/>
      </w:pPr>
      <w:r>
        <w:t xml:space="preserve">It shall contain a list of standards, books, articles, or other sources on a particular subject which are not mentioned in the document itself</w:t>
      </w:r>
    </w:p>
    <w:p>
      <w:pPr>
        <w:pStyle w:val="BodyText"/>
      </w:pPr>
      <w:r>
        <w:t xml:space="preserve">It shall not include references mentioned in the document.</w:t>
      </w:r>
    </w:p>
    <w:p>
      <w:pPr>
        <w:pStyle w:val="BodyText"/>
      </w:pPr>
      <w:r>
        <w:t xml:space="preserve">Use the Heading 9 style for the title and B1+ or Normal for the text.</w:t>
      </w:r>
    </w:p>
    <w:p>
      <w:pPr>
        <w:pStyle w:val="Compact"/>
        <w:numPr>
          <w:ilvl w:val="0"/>
          <w:numId w:val="1004"/>
        </w:numPr>
      </w:pPr>
      <w:r>
        <w:t xml:space="preserve">&lt;Publication&gt;:</w:t>
      </w:r>
      <w:r>
        <w:t xml:space="preserve"> </w:t>
      </w:r>
      <w:r>
        <w:t xml:space="preserve">“&lt;Title&gt;”</w:t>
      </w:r>
      <w:r>
        <w:t xml:space="preserve">.</w:t>
      </w:r>
    </w:p>
    <w:p>
      <w:pPr>
        <w:pStyle w:val="FirstParagraph"/>
      </w:pPr>
      <w:r>
        <w:t xml:space="preserve">OR</w:t>
      </w:r>
    </w:p>
    <w:p>
      <w:pPr>
        <w:pStyle w:val="BodyText"/>
      </w:pPr>
      <w:r>
        <w:t xml:space="preserve">&lt;Publication&gt;:</w:t>
      </w:r>
      <w:r>
        <w:t xml:space="preserve"> </w:t>
      </w:r>
      <w:r>
        <w:t xml:space="preserve">“&lt;Title&gt;”</w:t>
      </w:r>
      <w:r>
        <w:t xml:space="preserve">.</w:t>
      </w:r>
    </w:p>
    <w:p>
      <w:pPr>
        <w:pStyle w:val="BodyText"/>
      </w:pPr>
      <w:r>
        <w:t xml:space="preserve">&lt;PAGE BREAK&gt;</w:t>
      </w:r>
    </w:p>
    <w:bookmarkEnd w:id="96"/>
    <w:bookmarkStart w:id="97" w:name="history"/>
    <w:p>
      <w:pPr>
        <w:pStyle w:val="Heading1"/>
      </w:pPr>
      <w:r>
        <w:t xml:space="preserve">History</w:t>
      </w:r>
    </w:p>
    <w:p>
      <w:pPr>
        <w:pStyle w:val="FirstParagraph"/>
      </w:pPr>
      <w:r>
        <w:t xml:space="preserve">This clause shall be the last one in the document and list the main phases (all additional information will be removed at the publication stage).</w:t>
      </w:r>
    </w:p>
    <w:tbl>
      <w:tblPr>
        <w:tblStyle w:val="Table"/>
        <w:tblW w:type="auto" w:w="0"/>
        <w:tblLook w:firstRow="1" w:lastRow="0" w:firstColumn="0" w:lastColumn="0" w:noHBand="0" w:noVBand="0" w:val="0020"/>
      </w:tblPr>
      <w:tblGrid>
        <w:gridCol w:w="2640"/>
        <w:gridCol w:w="2640"/>
        <w:gridCol w:w="2640"/>
      </w:tblGrid>
      <w:tr>
        <w:trPr>
          <w:tblHeader w:val="on"/>
        </w:trPr>
        <w:tc>
          <w:tcPr/>
          <w:p>
            <w:pPr>
              <w:pStyle w:val="Compact"/>
            </w:pPr>
            <w:r>
              <w:t xml:space="preserve">Publication history</w:t>
            </w:r>
          </w:p>
        </w:tc>
        <w:tc>
          <w:tcPr/>
          <w:p>
            <w:pPr>
              <w:pStyle w:val="Compact"/>
            </w:pPr>
            <w:r>
              <w:t xml:space="preserve">Publication history</w:t>
            </w:r>
          </w:p>
        </w:tc>
        <w:tc>
          <w:tcPr/>
          <w:p>
            <w:pPr>
              <w:pStyle w:val="Compact"/>
            </w:pPr>
            <w:r>
              <w:t xml:space="preserve">Publication history</w:t>
            </w:r>
          </w:p>
        </w:tc>
      </w:tr>
      <w:tr>
        <w:tc>
          <w:tcPr/>
          <w:p>
            <w:pPr>
              <w:pStyle w:val="Compact"/>
            </w:pPr>
            <w:r>
              <w:t xml:space="preserve">V1.x.x</w:t>
            </w:r>
          </w:p>
        </w:tc>
        <w:tc>
          <w:tcPr/>
          <w:p>
            <w:pPr>
              <w:pStyle w:val="Compact"/>
            </w:pPr>
            <w:r>
              <w:t xml:space="preserve">&lt;yyyy-mm-dd &gt;</w:t>
            </w:r>
          </w:p>
        </w:tc>
        <w:tc>
          <w:tcPr/>
          <w:p>
            <w:pPr>
              <w:pStyle w:val="Compact"/>
            </w:pPr>
            <w:r>
              <w:t xml:space="preserve">&lt;Milestone&gt;</w:t>
            </w:r>
          </w:p>
        </w:tc>
      </w:tr>
      <w:tr>
        <w:tc>
          <w:tcPr/>
          <w:p>
            <w:pPr>
              <w:pStyle w:val="Compact"/>
            </w:pPr>
          </w:p>
        </w:tc>
        <w:tc>
          <w:tcPr/>
          <w:p>
            <w:pPr>
              <w:pStyle w:val="Compact"/>
            </w:pPr>
          </w:p>
        </w:tc>
        <w:tc>
          <w:tcPr/>
          <w:p>
            <w:pPr>
              <w:pStyle w:val="Compact"/>
            </w:pPr>
          </w:p>
        </w:tc>
      </w:tr>
      <w:tr>
        <w:tc>
          <w:tcPr/>
          <w:p>
            <w:pPr>
              <w:pStyle w:val="Compact"/>
            </w:pPr>
          </w:p>
        </w:tc>
        <w:tc>
          <w:tcPr/>
          <w:p>
            <w:pPr>
              <w:pStyle w:val="Compact"/>
            </w:pPr>
          </w:p>
        </w:tc>
        <w:tc>
          <w:tcPr/>
          <w:p>
            <w:pPr>
              <w:pStyle w:val="Compact"/>
            </w:pPr>
          </w:p>
        </w:tc>
      </w:tr>
      <w:tr>
        <w:tc>
          <w:tcPr/>
          <w:p>
            <w:pPr>
              <w:pStyle w:val="Compact"/>
            </w:pPr>
          </w:p>
        </w:tc>
        <w:tc>
          <w:tcPr/>
          <w:p>
            <w:pPr>
              <w:pStyle w:val="Compact"/>
            </w:pPr>
          </w:p>
        </w:tc>
        <w:tc>
          <w:tcPr/>
          <w:p>
            <w:pPr>
              <w:pStyle w:val="Compact"/>
            </w:pPr>
          </w:p>
        </w:tc>
      </w:tr>
      <w:tr>
        <w:tc>
          <w:tcPr/>
          <w:p>
            <w:pPr>
              <w:pStyle w:val="Compact"/>
            </w:pPr>
          </w:p>
        </w:tc>
        <w:tc>
          <w:tcPr/>
          <w:p>
            <w:pPr>
              <w:pStyle w:val="Compact"/>
            </w:pPr>
          </w:p>
        </w:tc>
        <w:tc>
          <w:tcPr/>
          <w:p>
            <w:pPr>
              <w:pStyle w:val="Compact"/>
            </w:pPr>
          </w:p>
        </w:tc>
      </w:tr>
    </w:tbl>
    <w:p/>
    <w:tbl>
      <w:tblPr>
        <w:tblStyle w:val="Table"/>
        <w:tblW w:type="pct" w:w="5000"/>
        <w:tblLayout w:type="fixed"/>
        <w:tblLook w:firstRow="1" w:lastRow="0" w:firstColumn="0" w:lastColumn="0" w:noHBand="0" w:noVBand="0" w:val="0020"/>
      </w:tblPr>
      <w:tblGrid>
        <w:gridCol w:w="2640"/>
        <w:gridCol w:w="2640"/>
        <w:gridCol w:w="2640"/>
      </w:tblGrid>
      <w:tr>
        <w:trPr>
          <w:tblHeader w:val="on"/>
        </w:trPr>
        <w:tc>
          <w:tcPr/>
          <w:p>
            <w:pPr>
              <w:pStyle w:val="Compact"/>
            </w:pPr>
            <w:r>
              <w:t xml:space="preserve">Version (to be removed on publication)</w:t>
            </w:r>
          </w:p>
        </w:tc>
        <w:tc>
          <w:tcPr/>
          <w:p>
            <w:pPr>
              <w:pStyle w:val="Compact"/>
            </w:pPr>
            <w:r>
              <w:t xml:space="preserve">Date (to be removed on publication)</w:t>
            </w:r>
          </w:p>
        </w:tc>
        <w:tc>
          <w:tcPr/>
          <w:p>
            <w:pPr>
              <w:pStyle w:val="Compact"/>
            </w:pPr>
            <w:r>
              <w:t xml:space="preserve">Draft history (to be removed on publication)</w:t>
            </w:r>
          </w:p>
        </w:tc>
      </w:tr>
      <w:tr>
        <w:tc>
          <w:tcPr/>
          <w:p>
            <w:pPr>
              <w:pStyle w:val="Compact"/>
            </w:pPr>
            <w:r>
              <w:t xml:space="preserve">V5.0.0</w:t>
            </w:r>
          </w:p>
        </w:tc>
        <w:tc>
          <w:tcPr/>
          <w:p>
            <w:pPr>
              <w:pStyle w:val="Compact"/>
            </w:pPr>
            <w:r>
              <w:t xml:space="preserve">2024-03-01</w:t>
            </w:r>
          </w:p>
        </w:tc>
        <w:tc>
          <w:tcPr/>
          <w:p>
            <w:pPr>
              <w:pStyle w:val="Compact"/>
            </w:pPr>
            <w:r>
              <w:t xml:space="preserve">Includes the following contributions agreed during SDS#58 meeting: SDS-2023-0219R01-initial_OGC_intro</w:t>
            </w:r>
          </w:p>
        </w:tc>
      </w:tr>
      <w:tr>
        <w:tc>
          <w:tcPr/>
          <w:p>
            <w:pPr>
              <w:pStyle w:val="Compact"/>
            </w:pPr>
            <w:r>
              <w:t xml:space="preserve">V5.1.0</w:t>
            </w:r>
          </w:p>
        </w:tc>
        <w:tc>
          <w:tcPr/>
          <w:p>
            <w:pPr>
              <w:pStyle w:val="Compact"/>
            </w:pPr>
            <w:r>
              <w:t xml:space="preserve">2024-09-13</w:t>
            </w:r>
          </w:p>
        </w:tc>
        <w:tc>
          <w:tcPr/>
          <w:p>
            <w:pPr>
              <w:pStyle w:val="Compact"/>
            </w:pPr>
            <w:r>
              <w:t xml:space="preserve">Includes the following contributions agreed during SDS#66 meeting: SDS-2024-0064R02_architecture_model and editorials agreed during SD#S66</w:t>
            </w:r>
          </w:p>
        </w:tc>
      </w:tr>
      <w:tr>
        <w:tc>
          <w:tcPr/>
          <w:p>
            <w:pPr>
              <w:pStyle w:val="Compact"/>
            </w:pPr>
            <w:r>
              <w:t xml:space="preserve">V5.2.0</w:t>
            </w:r>
          </w:p>
        </w:tc>
        <w:tc>
          <w:tcPr/>
          <w:p>
            <w:pPr>
              <w:pStyle w:val="Compact"/>
            </w:pPr>
            <w:r>
              <w:t xml:space="preserve">2025-03-27</w:t>
            </w:r>
          </w:p>
        </w:tc>
        <w:tc>
          <w:tcPr/>
          <w:p>
            <w:pPr>
              <w:pStyle w:val="Compact"/>
            </w:pPr>
            <w:r>
              <w:t xml:space="preserve">Includes the following contributions agreed during SDS#68 meeting: SDS-2024-0141R02-ogc_ipe_communication_schema and SDS-2025-0016R02-ogc_ipe_configuration_aspects agreed during SDS#68</w:t>
            </w:r>
          </w:p>
        </w:tc>
      </w:tr>
      <w:tr>
        <w:tc>
          <w:tcPr/>
          <w:p>
            <w:pPr>
              <w:pStyle w:val="Compact"/>
            </w:pPr>
            <w:r>
              <w:t xml:space="preserve">V5.3.0</w:t>
            </w:r>
          </w:p>
        </w:tc>
        <w:tc>
          <w:tcPr/>
          <w:p>
            <w:pPr>
              <w:pStyle w:val="Compact"/>
            </w:pPr>
            <w:r>
              <w:t xml:space="preserve">2025-04-04</w:t>
            </w:r>
          </w:p>
        </w:tc>
        <w:tc>
          <w:tcPr/>
          <w:p>
            <w:pPr>
              <w:pStyle w:val="Compact"/>
            </w:pPr>
            <w:r>
              <w:t xml:space="preserve">Includes the following contributions agreed during SDS#69 meeting: SDS-2025-0017R04 ogc_ipe_configuration_aspects_supl agreed during SDS#69, Editorials: followed the convention to write Attributes in italics.</w:t>
            </w:r>
          </w:p>
        </w:tc>
      </w:tr>
      <w:tr>
        <w:tc>
          <w:tcPr/>
          <w:p>
            <w:pPr>
              <w:pStyle w:val="Compact"/>
            </w:pPr>
          </w:p>
        </w:tc>
        <w:tc>
          <w:tcPr/>
          <w:p>
            <w:pPr>
              <w:pStyle w:val="Compact"/>
            </w:pPr>
          </w:p>
        </w:tc>
        <w:tc>
          <w:tcPr/>
          <w:p>
            <w:pPr>
              <w:pStyle w:val="Compact"/>
            </w:pPr>
          </w:p>
        </w:tc>
      </w:tr>
      <w:tr>
        <w:tc>
          <w:tcPr/>
          <w:p>
            <w:pPr>
              <w:pStyle w:val="Compact"/>
            </w:pPr>
          </w:p>
        </w:tc>
        <w:tc>
          <w:tcPr/>
          <w:p>
            <w:pPr>
              <w:pStyle w:val="Compact"/>
            </w:pPr>
          </w:p>
        </w:tc>
        <w:tc>
          <w:tcPr/>
          <w:p>
            <w:pPr>
              <w:pStyle w:val="Compact"/>
            </w:pPr>
          </w:p>
        </w:tc>
      </w:tr>
      <w:tr>
        <w:tc>
          <w:tcPr/>
          <w:p>
            <w:pPr>
              <w:pStyle w:val="Compact"/>
            </w:pPr>
          </w:p>
        </w:tc>
        <w:tc>
          <w:tcPr/>
          <w:p>
            <w:pPr>
              <w:pStyle w:val="Compact"/>
            </w:pPr>
          </w:p>
        </w:tc>
        <w:tc>
          <w:tcPr/>
          <w:p>
            <w:pPr>
              <w:pStyle w:val="Compact"/>
            </w:pPr>
          </w:p>
        </w:tc>
      </w:tr>
    </w:tbl>
    <w:bookmarkEnd w:id="97"/>
    <w:sectPr w:rsidR="001E73A3" w:rsidRPr="004F4407" w:rsidSect="00802AA2">
      <w:headerReference r:id="rId9" w:type="default"/>
      <w:footerReference r:id="rId10" w:type="default"/>
      <w:footnotePr>
        <w:numRestart w:val="eachSect"/>
      </w:footnotePr>
      <w:pgSz w:h="16840" w:w="11907"/>
      <w:pgMar w:bottom="1134" w:footer="680" w:gutter="0" w:header="680" w:left="1134" w:right="1134" w:top="1418"/>
      <w:cols w:space="720"/>
      <w:docGrid w:linePitch="272"/>
    </w:sectPr>
  </w:body>
</w:document>
</file>

<file path=word/comments.xml><?xml version="1.0" encoding="utf-8"?>
<w:comments xmlns:w="http://schemas.openxmlformats.org/wordprocessingml/2006/main" xmlns:m="http://schemas.openxmlformats.org/officeDocument/2006/math" xmlns:r="http://schemas.openxmlformats.org/officeDocument/2006/relationships" xmlns:o="urn:schemas-microsoft-com:office:office" xmlns:v="urn:schemas-microsoft-com:vml" xmlns:w10="urn:schemas-microsoft-com:office:word" xmlns:a="http://schemas.openxmlformats.org/drawingml/2006/main" xmlns:pic="http://schemas.openxmlformats.org/drawingml/2006/picture" xmlns:wp="http://schemas.openxmlformats.org/drawingml/2006/wordprocessingDrawing"/>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Times New Roman">
    <w:panose1 w:val="02020603050405020304"/>
    <w:charset w:val="00"/>
    <w:family w:val="roman"/>
    <w:pitch w:val="variable"/>
    <w:sig w:usb0="E0002EFF" w:usb1="C000785B" w:usb2="00000009" w:usb3="00000000" w:csb0="000001FF" w:csb1="00000000"/>
  </w:font>
  <w:font w:name="SimSun">
    <w:altName w:val="宋体"/>
    <w:panose1 w:val="02010600030101010101"/>
    <w:charset w:val="86"/>
    <w:family w:val="auto"/>
    <w:pitch w:val="variable"/>
    <w:sig w:usb0="00000203" w:usb1="288F0000" w:usb2="00000016" w:usb3="00000000" w:csb0="00040001"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Symbol">
    <w:panose1 w:val="05050102010706020507"/>
    <w:charset w:val="02"/>
    <w:family w:val="roman"/>
    <w:pitch w:val="variable"/>
    <w:sig w:usb0="00000000" w:usb1="10000000" w:usb2="00000000" w:usb3="00000000" w:csb0="80000000" w:csb1="00000000"/>
  </w:font>
  <w:font w:name="Arial">
    <w:panose1 w:val="020B0604020202020204"/>
    <w:charset w:val="00"/>
    <w:family w:val="swiss"/>
    <w:pitch w:val="variable"/>
    <w:sig w:usb0="E0002EFF" w:usb1="C000785B" w:usb2="00000009" w:usb3="00000000" w:csb0="000001FF" w:csb1="00000000"/>
  </w:font>
  <w:font w:name="Gulim">
    <w:altName w:val="굴림"/>
    <w:panose1 w:val="020B0600000101010101"/>
    <w:charset w:val="81"/>
    <w:family w:val="swiss"/>
    <w:pitch w:val="variable"/>
    <w:sig w:usb0="B00002AF" w:usb1="69D77CFB" w:usb2="00000030" w:usb3="00000000" w:csb0="0008009F" w:csb1="00000000"/>
  </w:font>
  <w:font w:name="Tahoma">
    <w:panose1 w:val="020B0604030504040204"/>
    <w:charset w:val="00"/>
    <w:family w:val="swiss"/>
    <w:pitch w:val="variable"/>
    <w:sig w:usb0="E1002EFF" w:usb1="C000605B" w:usb2="00000029" w:usb3="00000000" w:csb0="000101FF" w:csb1="00000000"/>
  </w:font>
  <w:font w:name="BatangChe">
    <w:charset w:val="81"/>
    <w:family w:val="modern"/>
    <w:pitch w:val="fixed"/>
    <w:sig w:usb0="B00002AF" w:usb1="69D77CFB" w:usb2="00000030" w:usb3="00000000" w:csb0="0008009F" w:csb1="00000000"/>
  </w:font>
  <w:font w:name="Myriad Pro">
    <w:altName w:val="Corbel"/>
    <w:charset w:val="00"/>
    <w:family w:val="auto"/>
    <w:pitch w:val="variable"/>
    <w:sig w:usb0="00000001" w:usb1="00000001" w:usb2="00000000" w:usb3="00000000" w:csb0="0000019F" w:csb1="00000000"/>
  </w:font>
  <w:font w:name="Calibri">
    <w:panose1 w:val="020F0502020204030204"/>
    <w:charset w:val="00"/>
    <w:family w:val="swiss"/>
    <w:pitch w:val="variable"/>
    <w:sig w:usb0="E4002EFF" w:usb1="C000247B" w:usb2="00000009" w:usb3="00000000" w:csb0="000001FF" w:csb1="00000000"/>
  </w:font>
  <w:font w:name="Corbel">
    <w:panose1 w:val="020B0503020204020204"/>
    <w:charset w:val="00"/>
    <w:family w:val="swiss"/>
    <w:pitch w:val="variable"/>
    <w:sig w:usb0="A00002EF" w:usb1="4000A44B" w:usb2="00000000" w:usb3="00000000" w:csb0="0000019F" w:csb1="00000000"/>
  </w:font>
  <w:font w:name="Yu Gothic">
    <w:altName w:val="游ゴシック"/>
    <w:panose1 w:val="020B0400000000000000"/>
    <w:charset w:val="80"/>
    <w:family w:val="swiss"/>
    <w:pitch w:val="variable"/>
    <w:sig w:usb0="E00002FF" w:usb1="2AC7FDFF" w:usb2="00000016" w:usb3="00000000" w:csb0="0002009F" w:csb1="00000000"/>
  </w:font>
  <w:font w:name="Verdana">
    <w:panose1 w:val="020B0604030504040204"/>
    <w:charset w:val="00"/>
    <w:family w:val="swiss"/>
    <w:pitch w:val="variable"/>
    <w:sig w:usb0="A00006FF" w:usb1="4000205B" w:usb2="00000010" w:usb3="00000000" w:csb0="0000019F" w:csb1="00000000"/>
  </w:font>
  <w:font w:name="MS Mincho">
    <w:altName w:val="ＭＳ 明朝"/>
    <w:panose1 w:val="02020609040205080304"/>
    <w:charset w:val="80"/>
    <w:family w:val="modern"/>
    <w:pitch w:val="fixed"/>
    <w:sig w:usb0="E00002FF" w:usb1="6AC7FDFB" w:usb2="08000012" w:usb3="00000000" w:csb0="0002009F" w:csb1="00000000"/>
  </w:font>
  <w:font w:name="Calibri Light">
    <w:panose1 w:val="020F0302020204030204"/>
    <w:charset w:val="00"/>
    <w:family w:val="swiss"/>
    <w:pitch w:val="variable"/>
    <w:sig w:usb0="E4002EFF" w:usb1="C000247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10E18DBF" w14:textId="508BEB3E" w:rsidR="00D050B3" w:rsidRPr="000C4B89" w:rsidRDefault="006502E1" w:rsidP="00DB59ED">
    <w:pPr>
      <w:pStyle w:val="Footer"/>
      <w:jc w:val="left"/>
      <w:rPr>
        <w:rFonts w:ascii="Times New Roman" w:hAnsi="Times New Roman"/>
        <w:bCs/>
        <w:i w:val="0"/>
        <w:sz w:val="20"/>
      </w:rPr>
    </w:pPr>
    <w:r w:rsidRPr="006502E1">
      <w:rPr>
        <w:rFonts w:ascii="Times New Roman" w:eastAsia="Calibri" w:hAnsi="Times New Roman"/>
        <w:bCs/>
        <w:i w:val="0"/>
        <w:sz w:val="20"/>
        <w:lang w:val="en-US"/>
      </w:rPr>
      <w:t>© 20</w:t>
    </w:r>
    <w:r>
      <w:rPr>
        <w:rFonts w:ascii="Times New Roman" w:eastAsia="Calibri" w:hAnsi="Times New Roman"/>
        <w:bCs/>
        <w:i w:val="0"/>
        <w:sz w:val="20"/>
        <w:lang w:val="en-US"/>
      </w:rPr>
      <w:t>25</w:t>
    </w:r>
    <w:r w:rsidRPr="006502E1">
      <w:rPr>
        <w:rFonts w:ascii="Times New Roman" w:eastAsia="Calibri" w:hAnsi="Times New Roman"/>
        <w:bCs/>
        <w:i w:val="0"/>
        <w:sz w:val="20"/>
        <w:lang w:val="en-US"/>
      </w:rPr>
      <w:t>, oneM2M Partners Type 1</w:t>
    </w:r>
    <w:r w:rsidRPr="000C4B89">
      <w:rPr>
        <w:rFonts w:ascii="Times New Roman" w:hAnsi="Times New Roman"/>
        <w:bCs/>
        <w:i w:val="0"/>
        <w:sz w:val="20"/>
      </w:rPr>
      <w:t xml:space="preserve"> </w:t>
    </w:r>
    <w:r w:rsidR="000C4B89" w:rsidRPr="000C4B89">
      <w:rPr>
        <w:rFonts w:ascii="Times New Roman" w:hAnsi="Times New Roman"/>
        <w:bCs/>
        <w:i w:val="0"/>
        <w:sz w:val="20"/>
      </w:rPr>
      <w:ptab w:relativeTo="margin" w:alignment="right" w:leader="none"/>
    </w:r>
    <w:r w:rsidR="000C4B89" w:rsidRPr="000C4B89">
      <w:rPr>
        <w:rFonts w:ascii="Times New Roman" w:hAnsi="Times New Roman"/>
        <w:bCs/>
        <w:i w:val="0"/>
        <w:sz w:val="20"/>
      </w:rPr>
      <w:t xml:space="preserve">Page </w:t>
    </w:r>
    <w:r w:rsidR="000C4B89" w:rsidRPr="000C4B89">
      <w:rPr>
        <w:rFonts w:ascii="Times New Roman" w:hAnsi="Times New Roman"/>
        <w:bCs/>
        <w:i w:val="0"/>
        <w:sz w:val="20"/>
      </w:rPr>
      <w:fldChar w:fldCharType="begin"/>
    </w:r>
    <w:r w:rsidR="000C4B89" w:rsidRPr="000C4B89">
      <w:rPr>
        <w:rFonts w:ascii="Times New Roman" w:hAnsi="Times New Roman"/>
        <w:bCs/>
        <w:i w:val="0"/>
        <w:sz w:val="20"/>
      </w:rPr>
      <w:instrText xml:space="preserve"> PAGE  \* Arabic  \* MERGEFORMAT </w:instrText>
    </w:r>
    <w:r w:rsidR="000C4B89" w:rsidRPr="000C4B89">
      <w:rPr>
        <w:rFonts w:ascii="Times New Roman" w:hAnsi="Times New Roman"/>
        <w:bCs/>
        <w:i w:val="0"/>
        <w:sz w:val="20"/>
      </w:rPr>
      <w:fldChar w:fldCharType="separate"/>
    </w:r>
    <w:r w:rsidR="000C4B89" w:rsidRPr="000C4B89">
      <w:rPr>
        <w:rFonts w:ascii="Times New Roman" w:hAnsi="Times New Roman"/>
        <w:bCs/>
        <w:i w:val="0"/>
        <w:sz w:val="20"/>
      </w:rPr>
      <w:t>1</w:t>
    </w:r>
    <w:r w:rsidR="000C4B89" w:rsidRPr="000C4B89">
      <w:rPr>
        <w:rFonts w:ascii="Times New Roman" w:hAnsi="Times New Roman"/>
        <w:bCs/>
        <w:i w:val="0"/>
        <w:sz w:val="20"/>
      </w:rPr>
      <w:fldChar w:fldCharType="end"/>
    </w:r>
    <w:r w:rsidR="000C4B89" w:rsidRPr="000C4B89">
      <w:rPr>
        <w:rFonts w:ascii="Times New Roman" w:hAnsi="Times New Roman"/>
        <w:bCs/>
        <w:i w:val="0"/>
        <w:sz w:val="20"/>
      </w:rPr>
      <w:t xml:space="preserve"> (of </w:t>
    </w:r>
    <w:r w:rsidR="000C4B89" w:rsidRPr="000C4B89">
      <w:rPr>
        <w:rFonts w:ascii="Times New Roman" w:hAnsi="Times New Roman"/>
        <w:bCs/>
        <w:i w:val="0"/>
        <w:sz w:val="20"/>
      </w:rPr>
      <w:fldChar w:fldCharType="begin"/>
    </w:r>
    <w:r w:rsidR="000C4B89" w:rsidRPr="000C4B89">
      <w:rPr>
        <w:rFonts w:ascii="Times New Roman" w:hAnsi="Times New Roman"/>
        <w:bCs/>
        <w:i w:val="0"/>
        <w:sz w:val="20"/>
      </w:rPr>
      <w:instrText xml:space="preserve"> NUMPAGES  \* Arabic  \* MERGEFORMAT </w:instrText>
    </w:r>
    <w:r w:rsidR="000C4B89" w:rsidRPr="000C4B89">
      <w:rPr>
        <w:rFonts w:ascii="Times New Roman" w:hAnsi="Times New Roman"/>
        <w:bCs/>
        <w:i w:val="0"/>
        <w:sz w:val="20"/>
      </w:rPr>
      <w:fldChar w:fldCharType="separate"/>
    </w:r>
    <w:r w:rsidR="000C4B89" w:rsidRPr="000C4B89">
      <w:rPr>
        <w:rFonts w:ascii="Times New Roman" w:hAnsi="Times New Roman"/>
        <w:bCs/>
        <w:i w:val="0"/>
        <w:sz w:val="20"/>
      </w:rPr>
      <w:t>2</w:t>
    </w:r>
    <w:r w:rsidR="000C4B89" w:rsidRPr="000C4B89">
      <w:rPr>
        <w:rFonts w:ascii="Times New Roman" w:hAnsi="Times New Roman"/>
        <w:bCs/>
        <w:i w:val="0"/>
        <w:sz w:val="20"/>
      </w:rPr>
      <w:fldChar w:fldCharType="end"/>
    </w:r>
    <w:r w:rsidR="000C4B89" w:rsidRPr="000C4B89">
      <w:rPr>
        <w:rFonts w:ascii="Times New Roman" w:hAnsi="Times New Roman"/>
        <w:bCs/>
        <w:i w:val="0"/>
        <w:sz w:val="20"/>
      </w:rPr>
      <w:t>)</w:t>
    </w: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140C14C8" w14:textId="18B0F293" w:rsidR="00D050B3" w:rsidRDefault="00D050B3" w:rsidP="00325EA3">
    <w:pPr>
      <w:pStyle w:val="Footer"/>
      <w:tabs>
        <w:tab w:val="center" w:pos="4678"/>
        <w:tab w:val="right" w:pos="9214"/>
      </w:tabs>
      <w:jc w:val="both"/>
    </w:pPr>
    <w:r>
      <w:rPr>
        <w:rFonts w:cs="Arial"/>
      </w:rPr>
      <w:tab/>
      <w:t>©</w:t>
    </w:r>
    <w:r>
      <w:t xml:space="preserve"> oneM2M Partners</w:t>
    </w:r>
    <w:r w:rsidRPr="00E278AD">
      <w:t xml:space="preserve"> Type 1 (ARIB, ATIS, CCSA, ETSI, TIA, </w:t>
    </w:r>
    <w:r>
      <w:t xml:space="preserve">TSDSI, </w:t>
    </w:r>
    <w:r w:rsidRPr="00E278AD">
      <w:t>TTA, TTC)</w:t>
    </w:r>
    <w:r>
      <w:tab/>
      <w:t xml:space="preserve">Page </w:t>
    </w:r>
    <w:r>
      <w:fldChar w:fldCharType="begin"/>
    </w:r>
    <w:r>
      <w:instrText xml:space="preserve"> PAGE   \* MERGEFORMAT </w:instrText>
    </w:r>
    <w:r>
      <w:fldChar w:fldCharType="separate"/>
    </w:r>
    <w:r>
      <w:t>21</w:t>
    </w:r>
    <w:r>
      <w:fldChar w:fldCharType="end"/>
    </w:r>
    <w:r>
      <w:t xml:space="preserve"> of </w:t>
    </w:r>
    <w:fldSimple w:instr=" NUMPAGES   \* MERGEFORMAT ">
      <w:r>
        <w:t>22</w:t>
      </w:r>
    </w:fldSimple>
  </w:p>
  <w:p w14:paraId="2E85E951" w14:textId="77777777" w:rsidR="00D050B3" w:rsidRPr="00424964" w:rsidRDefault="00D050B3" w:rsidP="00325EA3">
    <w:pPr>
      <w:pStyle w:val="Footer"/>
      <w:tabs>
        <w:tab w:val="center" w:pos="4678"/>
        <w:tab w:val="right" w:pos="9214"/>
      </w:tabs>
      <w:jc w:val="both"/>
    </w:pPr>
    <w:r w:rsidRPr="003C00E6">
      <w:rPr>
        <w:rFonts w:ascii="Times New Roman" w:eastAsia="Calibri" w:hAnsi="Times New Roman"/>
        <w:sz w:val="16"/>
        <w:szCs w:val="16"/>
        <w:lang w:val="en-US"/>
      </w:rPr>
      <w:t>This is a draft oneM2M document and should not be relied upon; the final version, if any, will be made available by oneM2M Partners Type 1.</w:t>
    </w:r>
  </w:p>
</w:ftr>
</file>

<file path=word/footnotes.xml><?xml version="1.0" encoding="utf-8"?>
<w:footnotes xmlns:w="http://schemas.openxmlformats.org/wordprocessingml/2006/main" xmlns:m="http://schemas.openxmlformats.org/officeDocument/2006/math" xmlns:r="http://schemas.openxmlformats.org/officeDocument/2006/relationships" xmlns:o="urn:schemas-microsoft-com:office:office" xmlns:v="urn:schemas-microsoft-com:vml" xmlns:w10="urn:schemas-microsoft-com:office:word" xmlns:a="http://schemas.openxmlformats.org/drawingml/2006/main" xmlns:pic="http://schemas.openxmlformats.org/drawingml/2006/picture" xmlns:wp="http://schemas.openxmlformats.org/drawingml/2006/wordprocessingDrawing">
  <w:footnote w:type="continuationSeparator" w:id="0">
    <w:p>
      <w:r>
        <w:continuationSeparator/>
      </w:r>
    </w:p>
  </w:footnote>
  <w:footnote w:type="separator" w:id="-1">
    <w:p>
      <w:r>
        <w: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0944D9BD" w14:textId="346FA9D7" w:rsidR="00D050B3" w:rsidRPr="00E12639" w:rsidRDefault="00D050B3" w:rsidP="001F4D0C">
    <w:pPr>
      <w:tabs>
        <w:tab w:val="left" w:pos="284"/>
        <w:tab w:val="center" w:pos="4680"/>
        <w:tab w:val="right" w:pos="9360"/>
      </w:tabs>
      <w:overflowPunct/>
      <w:autoSpaceDE/>
      <w:autoSpaceDN/>
      <w:adjustRightInd/>
      <w:spacing w:before="120" w:after="0"/>
      <w:textAlignment w:val="auto"/>
      <w:rPr>
        <w:bCs/>
        <w:sz w:val="22"/>
        <w:szCs w:val="22"/>
        <w:shd w:val="clear" w:color="auto" w:fill="FFFFFF"/>
      </w:rPr>
    </w:pPr>
  </w:p>
</w:hdr>
</file>

<file path=word/numbering.xml><?xml version="1.0" encoding="utf-8"?>
<w:numbering xmlns:aink="http://schemas.microsoft.com/office/drawing/2016/ink" xmlns:am3d="http://schemas.microsoft.com/office/drawing/2017/model3d"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http://schemas.openxmlformats.org/officeDocument/2006/math" xmlns:mc="http://schemas.openxmlformats.org/markup-compatibility/2006" xmlns:o="urn:schemas-microsoft-com:office:office" xmlns:oel="http://schemas.microsoft.com/office/2019/extlst" xmlns:r="http://schemas.openxmlformats.org/officeDocument/2006/relationships" xmlns:v="urn:schemas-microsoft-com:vml" xmlns:w="http://schemas.openxmlformats.org/wordprocessingml/2006/main" xmlns:w10="urn:schemas-microsoft-com:office:word" xmlns:w14="http://schemas.microsoft.com/office/word/2010/wordml" xmlns:w15="http://schemas.microsoft.com/office/word/2012/wordml" xmlns:w16="http://schemas.microsoft.com/office/word/2018/wordml" xmlns:w16cex="http://schemas.microsoft.com/office/word/2018/wordml/cex" xmlns:w16cid="http://schemas.microsoft.com/office/word/2016/wordml/cid" xmlns:w16du="http://schemas.microsoft.com/office/word/2023/wordml/word16du" xmlns:w16sdtdh="http://schemas.microsoft.com/office/word/2020/wordml/sdtdatahash" xmlns:w16sdtfl="http://schemas.microsoft.com/office/word/2024/wordml/sdtformatlock" xmlns:w16se="http://schemas.microsoft.com/office/word/2015/wordml/symex" xmlns:wne="http://schemas.microsoft.com/office/word/2006/wordml" xmlns:wp="http://schemas.openxmlformats.org/drawingml/2006/wordprocessingDrawing" xmlns:wp14="http://schemas.microsoft.com/office/word/2010/wordprocessingDrawing" xmlns:wpc="http://schemas.microsoft.com/office/word/2010/wordprocessingCanvas" xmlns:wpg="http://schemas.microsoft.com/office/word/2010/wordprocessingGroup" xmlns:wpi="http://schemas.microsoft.com/office/word/2010/wordprocessingInk" xmlns:wps="http://schemas.microsoft.com/office/word/2010/wordprocessingShape" mc:Ignorable="w14 w15 w16se w16cid w16 w16cex w16sdtdh w16sdtfl w16du wp14">
  <w:abstractNum w15:restartNumberingAfterBreak="0" w:abstractNumId="0">
    <w:nsid w:val="FFFFFF7C"/>
    <w:multiLevelType w:val="singleLevel"/>
    <w:tmpl w:val="F50ED7FE"/>
    <w:lvl w:ilvl="0">
      <w:start w:val="1"/>
      <w:numFmt w:val="decimal"/>
      <w:pStyle w:val="ListNumber5"/>
      <w:lvlText w:val="%1."/>
      <w:lvlJc w:val="left"/>
      <w:pPr>
        <w:tabs>
          <w:tab w:pos="1492" w:val="num"/>
        </w:tabs>
        <w:ind w:hanging="360" w:left="1492"/>
      </w:pPr>
    </w:lvl>
  </w:abstractNum>
  <w:abstractNum w15:restartNumberingAfterBreak="0" w:abstractNumId="1">
    <w:nsid w:val="FFFFFF7D"/>
    <w:multiLevelType w:val="singleLevel"/>
    <w:tmpl w:val="3C4A6EBE"/>
    <w:lvl w:ilvl="0">
      <w:start w:val="1"/>
      <w:numFmt w:val="decimal"/>
      <w:pStyle w:val="ListNumber4"/>
      <w:lvlText w:val="%1."/>
      <w:lvlJc w:val="left"/>
      <w:pPr>
        <w:tabs>
          <w:tab w:pos="1209" w:val="num"/>
        </w:tabs>
        <w:ind w:hanging="360" w:left="1209"/>
      </w:pPr>
    </w:lvl>
  </w:abstractNum>
  <w:abstractNum w15:restartNumberingAfterBreak="0" w:abstractNumId="2">
    <w:nsid w:val="FFFFFF7E"/>
    <w:multiLevelType w:val="singleLevel"/>
    <w:tmpl w:val="036EEB52"/>
    <w:lvl w:ilvl="0">
      <w:start w:val="1"/>
      <w:numFmt w:val="decimal"/>
      <w:pStyle w:val="ListNumber3"/>
      <w:lvlText w:val="%1."/>
      <w:lvlJc w:val="left"/>
      <w:pPr>
        <w:tabs>
          <w:tab w:pos="926" w:val="num"/>
        </w:tabs>
        <w:ind w:hanging="360" w:left="926"/>
      </w:pPr>
    </w:lvl>
  </w:abstractNum>
  <w:abstractNum w15:restartNumberingAfterBreak="0" w:abstractNumId="3">
    <w:nsid w:val="0D0D5C41"/>
    <w:multiLevelType w:val="hybridMultilevel"/>
    <w:tmpl w:val="D7FEECAE"/>
    <w:lvl w:ilvl="0" w:tplc="8196DBFC">
      <w:start w:val="2019"/>
      <w:numFmt w:val="bullet"/>
      <w:lvlText w:val="-"/>
      <w:lvlJc w:val="left"/>
      <w:pPr>
        <w:ind w:hanging="360" w:left="644"/>
      </w:pPr>
      <w:rPr>
        <w:rFonts w:ascii="Times New Roman" w:cs="Times New Roman" w:eastAsia="SimSun" w:hAnsi="Times New Roman" w:hint="default"/>
      </w:rPr>
    </w:lvl>
    <w:lvl w:ilvl="1" w:tentative="1" w:tplc="08090003">
      <w:start w:val="1"/>
      <w:numFmt w:val="bullet"/>
      <w:lvlText w:val="o"/>
      <w:lvlJc w:val="left"/>
      <w:pPr>
        <w:ind w:hanging="360" w:left="1364"/>
      </w:pPr>
      <w:rPr>
        <w:rFonts w:ascii="Courier New" w:cs="Courier New" w:hAnsi="Courier New" w:hint="default"/>
      </w:rPr>
    </w:lvl>
    <w:lvl w:ilvl="2" w:tentative="1" w:tplc="08090005">
      <w:start w:val="1"/>
      <w:numFmt w:val="bullet"/>
      <w:lvlText w:val=""/>
      <w:lvlJc w:val="left"/>
      <w:pPr>
        <w:ind w:hanging="360" w:left="2084"/>
      </w:pPr>
      <w:rPr>
        <w:rFonts w:ascii="Wingdings" w:hAnsi="Wingdings" w:hint="default"/>
      </w:rPr>
    </w:lvl>
    <w:lvl w:ilvl="3" w:tentative="1" w:tplc="08090001">
      <w:start w:val="1"/>
      <w:numFmt w:val="bullet"/>
      <w:lvlText w:val=""/>
      <w:lvlJc w:val="left"/>
      <w:pPr>
        <w:ind w:hanging="360" w:left="2804"/>
      </w:pPr>
      <w:rPr>
        <w:rFonts w:ascii="Symbol" w:hAnsi="Symbol" w:hint="default"/>
      </w:rPr>
    </w:lvl>
    <w:lvl w:ilvl="4" w:tentative="1" w:tplc="08090003">
      <w:start w:val="1"/>
      <w:numFmt w:val="bullet"/>
      <w:lvlText w:val="o"/>
      <w:lvlJc w:val="left"/>
      <w:pPr>
        <w:ind w:hanging="360" w:left="3524"/>
      </w:pPr>
      <w:rPr>
        <w:rFonts w:ascii="Courier New" w:cs="Courier New" w:hAnsi="Courier New" w:hint="default"/>
      </w:rPr>
    </w:lvl>
    <w:lvl w:ilvl="5" w:tentative="1" w:tplc="08090005">
      <w:start w:val="1"/>
      <w:numFmt w:val="bullet"/>
      <w:lvlText w:val=""/>
      <w:lvlJc w:val="left"/>
      <w:pPr>
        <w:ind w:hanging="360" w:left="4244"/>
      </w:pPr>
      <w:rPr>
        <w:rFonts w:ascii="Wingdings" w:hAnsi="Wingdings" w:hint="default"/>
      </w:rPr>
    </w:lvl>
    <w:lvl w:ilvl="6" w:tentative="1" w:tplc="08090001">
      <w:start w:val="1"/>
      <w:numFmt w:val="bullet"/>
      <w:lvlText w:val=""/>
      <w:lvlJc w:val="left"/>
      <w:pPr>
        <w:ind w:hanging="360" w:left="4964"/>
      </w:pPr>
      <w:rPr>
        <w:rFonts w:ascii="Symbol" w:hAnsi="Symbol" w:hint="default"/>
      </w:rPr>
    </w:lvl>
    <w:lvl w:ilvl="7" w:tentative="1" w:tplc="08090003">
      <w:start w:val="1"/>
      <w:numFmt w:val="bullet"/>
      <w:lvlText w:val="o"/>
      <w:lvlJc w:val="left"/>
      <w:pPr>
        <w:ind w:hanging="360" w:left="5684"/>
      </w:pPr>
      <w:rPr>
        <w:rFonts w:ascii="Courier New" w:cs="Courier New" w:hAnsi="Courier New" w:hint="default"/>
      </w:rPr>
    </w:lvl>
    <w:lvl w:ilvl="8" w:tentative="1" w:tplc="08090005">
      <w:start w:val="1"/>
      <w:numFmt w:val="bullet"/>
      <w:lvlText w:val=""/>
      <w:lvlJc w:val="left"/>
      <w:pPr>
        <w:ind w:hanging="360" w:left="6404"/>
      </w:pPr>
      <w:rPr>
        <w:rFonts w:ascii="Wingdings" w:hAnsi="Wingdings" w:hint="default"/>
      </w:rPr>
    </w:lvl>
  </w:abstractNum>
  <w:abstractNum w15:restartNumberingAfterBreak="0" w:abstractNumId="4">
    <w:nsid w:val="10C15FE7"/>
    <w:multiLevelType w:val="hybridMultilevel"/>
    <w:tmpl w:val="1736DD48"/>
    <w:lvl w:ilvl="0" w:tplc="4E462B14">
      <w:start w:val="1"/>
      <w:numFmt w:val="bullet"/>
      <w:pStyle w:val="B3"/>
      <w:lvlText w:val=""/>
      <w:lvlJc w:val="left"/>
      <w:pPr>
        <w:tabs>
          <w:tab w:pos="1644" w:val="num"/>
        </w:tabs>
        <w:ind w:hanging="453" w:left="1644"/>
      </w:pPr>
      <w:rPr>
        <w:rFonts w:ascii="Wingdings" w:hAnsi="Wingdings" w:hint="default"/>
      </w:rPr>
    </w:lvl>
    <w:lvl w:ilvl="1" w:tentative="1" w:tplc="04090003">
      <w:start w:val="1"/>
      <w:numFmt w:val="bullet"/>
      <w:lvlText w:val="o"/>
      <w:lvlJc w:val="left"/>
      <w:pPr>
        <w:tabs>
          <w:tab w:pos="1440" w:val="num"/>
        </w:tabs>
        <w:ind w:hanging="360" w:left="1440"/>
      </w:pPr>
      <w:rPr>
        <w:rFonts w:ascii="Courier New" w:hAnsi="Courier New" w:hint="default"/>
      </w:rPr>
    </w:lvl>
    <w:lvl w:ilvl="2" w:tentative="1" w:tplc="04090005">
      <w:start w:val="1"/>
      <w:numFmt w:val="bullet"/>
      <w:lvlText w:val=""/>
      <w:lvlJc w:val="left"/>
      <w:pPr>
        <w:tabs>
          <w:tab w:pos="2160" w:val="num"/>
        </w:tabs>
        <w:ind w:hanging="360" w:left="2160"/>
      </w:pPr>
      <w:rPr>
        <w:rFonts w:ascii="Wingdings" w:hAnsi="Wingdings" w:hint="default"/>
      </w:rPr>
    </w:lvl>
    <w:lvl w:ilvl="3" w:tentative="1" w:tplc="04090001">
      <w:start w:val="1"/>
      <w:numFmt w:val="bullet"/>
      <w:lvlText w:val=""/>
      <w:lvlJc w:val="left"/>
      <w:pPr>
        <w:tabs>
          <w:tab w:pos="2880" w:val="num"/>
        </w:tabs>
        <w:ind w:hanging="360" w:left="2880"/>
      </w:pPr>
      <w:rPr>
        <w:rFonts w:ascii="Symbol" w:hAnsi="Symbol" w:hint="default"/>
      </w:rPr>
    </w:lvl>
    <w:lvl w:ilvl="4" w:tentative="1" w:tplc="04090003">
      <w:start w:val="1"/>
      <w:numFmt w:val="bullet"/>
      <w:lvlText w:val="o"/>
      <w:lvlJc w:val="left"/>
      <w:pPr>
        <w:tabs>
          <w:tab w:pos="3600" w:val="num"/>
        </w:tabs>
        <w:ind w:hanging="360" w:left="3600"/>
      </w:pPr>
      <w:rPr>
        <w:rFonts w:ascii="Courier New" w:hAnsi="Courier New" w:hint="default"/>
      </w:rPr>
    </w:lvl>
    <w:lvl w:ilvl="5" w:tentative="1" w:tplc="04090005">
      <w:start w:val="1"/>
      <w:numFmt w:val="bullet"/>
      <w:lvlText w:val=""/>
      <w:lvlJc w:val="left"/>
      <w:pPr>
        <w:tabs>
          <w:tab w:pos="4320" w:val="num"/>
        </w:tabs>
        <w:ind w:hanging="360" w:left="4320"/>
      </w:pPr>
      <w:rPr>
        <w:rFonts w:ascii="Wingdings" w:hAnsi="Wingdings" w:hint="default"/>
      </w:rPr>
    </w:lvl>
    <w:lvl w:ilvl="6" w:tentative="1" w:tplc="04090001">
      <w:start w:val="1"/>
      <w:numFmt w:val="bullet"/>
      <w:lvlText w:val=""/>
      <w:lvlJc w:val="left"/>
      <w:pPr>
        <w:tabs>
          <w:tab w:pos="5040" w:val="num"/>
        </w:tabs>
        <w:ind w:hanging="360" w:left="5040"/>
      </w:pPr>
      <w:rPr>
        <w:rFonts w:ascii="Symbol" w:hAnsi="Symbol" w:hint="default"/>
      </w:rPr>
    </w:lvl>
    <w:lvl w:ilvl="7" w:tentative="1" w:tplc="04090003">
      <w:start w:val="1"/>
      <w:numFmt w:val="bullet"/>
      <w:lvlText w:val="o"/>
      <w:lvlJc w:val="left"/>
      <w:pPr>
        <w:tabs>
          <w:tab w:pos="5760" w:val="num"/>
        </w:tabs>
        <w:ind w:hanging="360" w:left="5760"/>
      </w:pPr>
      <w:rPr>
        <w:rFonts w:ascii="Courier New" w:hAnsi="Courier New" w:hint="default"/>
      </w:rPr>
    </w:lvl>
    <w:lvl w:ilvl="8" w:tentative="1" w:tplc="04090005">
      <w:start w:val="1"/>
      <w:numFmt w:val="bullet"/>
      <w:lvlText w:val=""/>
      <w:lvlJc w:val="left"/>
      <w:pPr>
        <w:tabs>
          <w:tab w:pos="6480" w:val="num"/>
        </w:tabs>
        <w:ind w:hanging="360" w:left="6480"/>
      </w:pPr>
      <w:rPr>
        <w:rFonts w:ascii="Wingdings" w:hAnsi="Wingdings" w:hint="default"/>
      </w:rPr>
    </w:lvl>
  </w:abstractNum>
  <w:abstractNum w15:restartNumberingAfterBreak="0" w:abstractNumId="5">
    <w:nsid w:val="29F978E9"/>
    <w:multiLevelType w:val="hybridMultilevel"/>
    <w:tmpl w:val="669A7826"/>
    <w:lvl w:ilvl="0" w:tplc="9704FDD4">
      <w:start w:val="1"/>
      <w:numFmt w:val="bullet"/>
      <w:pStyle w:val="B1"/>
      <w:lvlText w:val=""/>
      <w:lvlJc w:val="left"/>
      <w:pPr>
        <w:tabs>
          <w:tab w:pos="737" w:val="num"/>
        </w:tabs>
        <w:ind w:hanging="453" w:left="737"/>
      </w:pPr>
      <w:rPr>
        <w:rFonts w:ascii="Symbol" w:hAnsi="Symbol" w:hint="default"/>
        <w:color w:val="auto"/>
      </w:rPr>
    </w:lvl>
    <w:lvl w:ilvl="1" w:tentative="1" w:tplc="04090003">
      <w:start w:val="1"/>
      <w:numFmt w:val="bullet"/>
      <w:lvlText w:val="o"/>
      <w:lvlJc w:val="left"/>
      <w:pPr>
        <w:tabs>
          <w:tab w:pos="1440" w:val="num"/>
        </w:tabs>
        <w:ind w:hanging="360" w:left="1440"/>
      </w:pPr>
      <w:rPr>
        <w:rFonts w:ascii="Courier New" w:hAnsi="Courier New" w:hint="default"/>
      </w:rPr>
    </w:lvl>
    <w:lvl w:ilvl="2" w:tentative="1" w:tplc="04090005">
      <w:start w:val="1"/>
      <w:numFmt w:val="bullet"/>
      <w:lvlText w:val=""/>
      <w:lvlJc w:val="left"/>
      <w:pPr>
        <w:tabs>
          <w:tab w:pos="2160" w:val="num"/>
        </w:tabs>
        <w:ind w:hanging="360" w:left="2160"/>
      </w:pPr>
      <w:rPr>
        <w:rFonts w:ascii="Wingdings" w:hAnsi="Wingdings" w:hint="default"/>
      </w:rPr>
    </w:lvl>
    <w:lvl w:ilvl="3" w:tentative="1" w:tplc="04090001">
      <w:start w:val="1"/>
      <w:numFmt w:val="bullet"/>
      <w:lvlText w:val=""/>
      <w:lvlJc w:val="left"/>
      <w:pPr>
        <w:tabs>
          <w:tab w:pos="2880" w:val="num"/>
        </w:tabs>
        <w:ind w:hanging="360" w:left="2880"/>
      </w:pPr>
      <w:rPr>
        <w:rFonts w:ascii="Symbol" w:hAnsi="Symbol" w:hint="default"/>
      </w:rPr>
    </w:lvl>
    <w:lvl w:ilvl="4" w:tentative="1" w:tplc="04090003">
      <w:start w:val="1"/>
      <w:numFmt w:val="bullet"/>
      <w:lvlText w:val="o"/>
      <w:lvlJc w:val="left"/>
      <w:pPr>
        <w:tabs>
          <w:tab w:pos="3600" w:val="num"/>
        </w:tabs>
        <w:ind w:hanging="360" w:left="3600"/>
      </w:pPr>
      <w:rPr>
        <w:rFonts w:ascii="Courier New" w:hAnsi="Courier New" w:hint="default"/>
      </w:rPr>
    </w:lvl>
    <w:lvl w:ilvl="5" w:tentative="1" w:tplc="04090005">
      <w:start w:val="1"/>
      <w:numFmt w:val="bullet"/>
      <w:lvlText w:val=""/>
      <w:lvlJc w:val="left"/>
      <w:pPr>
        <w:tabs>
          <w:tab w:pos="4320" w:val="num"/>
        </w:tabs>
        <w:ind w:hanging="360" w:left="4320"/>
      </w:pPr>
      <w:rPr>
        <w:rFonts w:ascii="Wingdings" w:hAnsi="Wingdings" w:hint="default"/>
      </w:rPr>
    </w:lvl>
    <w:lvl w:ilvl="6" w:tentative="1" w:tplc="04090001">
      <w:start w:val="1"/>
      <w:numFmt w:val="bullet"/>
      <w:lvlText w:val=""/>
      <w:lvlJc w:val="left"/>
      <w:pPr>
        <w:tabs>
          <w:tab w:pos="5040" w:val="num"/>
        </w:tabs>
        <w:ind w:hanging="360" w:left="5040"/>
      </w:pPr>
      <w:rPr>
        <w:rFonts w:ascii="Symbol" w:hAnsi="Symbol" w:hint="default"/>
      </w:rPr>
    </w:lvl>
    <w:lvl w:ilvl="7" w:tentative="1" w:tplc="04090003">
      <w:start w:val="1"/>
      <w:numFmt w:val="bullet"/>
      <w:lvlText w:val="o"/>
      <w:lvlJc w:val="left"/>
      <w:pPr>
        <w:tabs>
          <w:tab w:pos="5760" w:val="num"/>
        </w:tabs>
        <w:ind w:hanging="360" w:left="5760"/>
      </w:pPr>
      <w:rPr>
        <w:rFonts w:ascii="Courier New" w:hAnsi="Courier New" w:hint="default"/>
      </w:rPr>
    </w:lvl>
    <w:lvl w:ilvl="8" w:tentative="1" w:tplc="04090005">
      <w:start w:val="1"/>
      <w:numFmt w:val="bullet"/>
      <w:lvlText w:val=""/>
      <w:lvlJc w:val="left"/>
      <w:pPr>
        <w:tabs>
          <w:tab w:pos="6480" w:val="num"/>
        </w:tabs>
        <w:ind w:hanging="360" w:left="6480"/>
      </w:pPr>
      <w:rPr>
        <w:rFonts w:ascii="Wingdings" w:hAnsi="Wingdings" w:hint="default"/>
      </w:rPr>
    </w:lvl>
  </w:abstractNum>
  <w:abstractNum w15:restartNumberingAfterBreak="0" w:abstractNumId="6">
    <w:nsid w:val="35C80964"/>
    <w:multiLevelType w:val="hybridMultilevel"/>
    <w:tmpl w:val="E9C00184"/>
    <w:lvl w:ilvl="0" w:tplc="3EF48BA0">
      <w:start w:val="1"/>
      <w:numFmt w:val="decimal"/>
      <w:pStyle w:val="BN"/>
      <w:lvlText w:val="%1)"/>
      <w:lvlJc w:val="left"/>
      <w:pPr>
        <w:tabs>
          <w:tab w:pos="737" w:val="num"/>
        </w:tabs>
        <w:ind w:hanging="453" w:left="737"/>
      </w:pPr>
      <w:rPr>
        <w:rFonts w:hint="default"/>
      </w:rPr>
    </w:lvl>
    <w:lvl w:ilvl="1" w:tentative="1" w:tplc="04090019">
      <w:start w:val="1"/>
      <w:numFmt w:val="lowerLetter"/>
      <w:lvlText w:val="%2."/>
      <w:lvlJc w:val="left"/>
      <w:pPr>
        <w:tabs>
          <w:tab w:pos="1440" w:val="num"/>
        </w:tabs>
        <w:ind w:hanging="360" w:left="1440"/>
      </w:pPr>
    </w:lvl>
    <w:lvl w:ilvl="2" w:tentative="1" w:tplc="0409001B">
      <w:start w:val="1"/>
      <w:numFmt w:val="lowerRoman"/>
      <w:lvlText w:val="%3."/>
      <w:lvlJc w:val="right"/>
      <w:pPr>
        <w:tabs>
          <w:tab w:pos="2160" w:val="num"/>
        </w:tabs>
        <w:ind w:hanging="180" w:left="2160"/>
      </w:pPr>
    </w:lvl>
    <w:lvl w:ilvl="3" w:tentative="1" w:tplc="0409000F">
      <w:start w:val="1"/>
      <w:numFmt w:val="decimal"/>
      <w:lvlText w:val="%4."/>
      <w:lvlJc w:val="left"/>
      <w:pPr>
        <w:tabs>
          <w:tab w:pos="2880" w:val="num"/>
        </w:tabs>
        <w:ind w:hanging="360" w:left="2880"/>
      </w:pPr>
    </w:lvl>
    <w:lvl w:ilvl="4" w:tentative="1" w:tplc="04090019">
      <w:start w:val="1"/>
      <w:numFmt w:val="lowerLetter"/>
      <w:lvlText w:val="%5."/>
      <w:lvlJc w:val="left"/>
      <w:pPr>
        <w:tabs>
          <w:tab w:pos="3600" w:val="num"/>
        </w:tabs>
        <w:ind w:hanging="360" w:left="3600"/>
      </w:pPr>
    </w:lvl>
    <w:lvl w:ilvl="5" w:tentative="1" w:tplc="0409001B">
      <w:start w:val="1"/>
      <w:numFmt w:val="lowerRoman"/>
      <w:lvlText w:val="%6."/>
      <w:lvlJc w:val="right"/>
      <w:pPr>
        <w:tabs>
          <w:tab w:pos="4320" w:val="num"/>
        </w:tabs>
        <w:ind w:hanging="180" w:left="4320"/>
      </w:pPr>
    </w:lvl>
    <w:lvl w:ilvl="6" w:tentative="1" w:tplc="0409000F">
      <w:start w:val="1"/>
      <w:numFmt w:val="decimal"/>
      <w:lvlText w:val="%7."/>
      <w:lvlJc w:val="left"/>
      <w:pPr>
        <w:tabs>
          <w:tab w:pos="5040" w:val="num"/>
        </w:tabs>
        <w:ind w:hanging="360" w:left="5040"/>
      </w:pPr>
    </w:lvl>
    <w:lvl w:ilvl="7" w:tentative="1" w:tplc="04090019">
      <w:start w:val="1"/>
      <w:numFmt w:val="lowerLetter"/>
      <w:lvlText w:val="%8."/>
      <w:lvlJc w:val="left"/>
      <w:pPr>
        <w:tabs>
          <w:tab w:pos="5760" w:val="num"/>
        </w:tabs>
        <w:ind w:hanging="360" w:left="5760"/>
      </w:pPr>
    </w:lvl>
    <w:lvl w:ilvl="8" w:tentative="1" w:tplc="0409001B">
      <w:start w:val="1"/>
      <w:numFmt w:val="lowerRoman"/>
      <w:lvlText w:val="%9."/>
      <w:lvlJc w:val="right"/>
      <w:pPr>
        <w:tabs>
          <w:tab w:pos="6480" w:val="num"/>
        </w:tabs>
        <w:ind w:hanging="180" w:left="6480"/>
      </w:pPr>
    </w:lvl>
  </w:abstractNum>
  <w:abstractNum w15:restartNumberingAfterBreak="0" w:abstractNumId="7">
    <w:nsid w:val="389C6882"/>
    <w:multiLevelType w:val="hybridMultilevel"/>
    <w:tmpl w:val="DA903E38"/>
    <w:lvl w:ilvl="0" w:tplc="04090011">
      <w:start w:val="1"/>
      <w:numFmt w:val="decimalEnclosedCircle"/>
      <w:lvlText w:val="%1"/>
      <w:lvlJc w:val="left"/>
      <w:pPr>
        <w:ind w:hanging="360" w:left="760"/>
      </w:pPr>
      <w:rPr>
        <w:rFonts w:hint="default"/>
      </w:rPr>
    </w:lvl>
    <w:lvl w:ilvl="1" w:tentative="1" w:tplc="04090019">
      <w:start w:val="1"/>
      <w:numFmt w:val="upperLetter"/>
      <w:lvlText w:val="%2."/>
      <w:lvlJc w:val="left"/>
      <w:pPr>
        <w:ind w:hanging="400" w:left="1200"/>
      </w:pPr>
    </w:lvl>
    <w:lvl w:ilvl="2" w:tentative="1" w:tplc="0409001B">
      <w:start w:val="1"/>
      <w:numFmt w:val="lowerRoman"/>
      <w:lvlText w:val="%3."/>
      <w:lvlJc w:val="right"/>
      <w:pPr>
        <w:ind w:hanging="400" w:left="1600"/>
      </w:pPr>
    </w:lvl>
    <w:lvl w:ilvl="3" w:tentative="1" w:tplc="0409000F">
      <w:start w:val="1"/>
      <w:numFmt w:val="decimal"/>
      <w:lvlText w:val="%4."/>
      <w:lvlJc w:val="left"/>
      <w:pPr>
        <w:ind w:hanging="400" w:left="2000"/>
      </w:pPr>
    </w:lvl>
    <w:lvl w:ilvl="4" w:tentative="1" w:tplc="04090019">
      <w:start w:val="1"/>
      <w:numFmt w:val="upperLetter"/>
      <w:lvlText w:val="%5."/>
      <w:lvlJc w:val="left"/>
      <w:pPr>
        <w:ind w:hanging="400" w:left="2400"/>
      </w:pPr>
    </w:lvl>
    <w:lvl w:ilvl="5" w:tentative="1" w:tplc="0409001B">
      <w:start w:val="1"/>
      <w:numFmt w:val="lowerRoman"/>
      <w:lvlText w:val="%6."/>
      <w:lvlJc w:val="right"/>
      <w:pPr>
        <w:ind w:hanging="400" w:left="2800"/>
      </w:pPr>
    </w:lvl>
    <w:lvl w:ilvl="6" w:tentative="1" w:tplc="0409000F">
      <w:start w:val="1"/>
      <w:numFmt w:val="decimal"/>
      <w:lvlText w:val="%7."/>
      <w:lvlJc w:val="left"/>
      <w:pPr>
        <w:ind w:hanging="400" w:left="3200"/>
      </w:pPr>
    </w:lvl>
    <w:lvl w:ilvl="7" w:tentative="1" w:tplc="04090019">
      <w:start w:val="1"/>
      <w:numFmt w:val="upperLetter"/>
      <w:lvlText w:val="%8."/>
      <w:lvlJc w:val="left"/>
      <w:pPr>
        <w:ind w:hanging="400" w:left="3600"/>
      </w:pPr>
    </w:lvl>
    <w:lvl w:ilvl="8" w:tentative="1" w:tplc="0409001B">
      <w:start w:val="1"/>
      <w:numFmt w:val="lowerRoman"/>
      <w:lvlText w:val="%9."/>
      <w:lvlJc w:val="right"/>
      <w:pPr>
        <w:ind w:hanging="400" w:left="4000"/>
      </w:pPr>
    </w:lvl>
  </w:abstractNum>
  <w:abstractNum w15:restartNumberingAfterBreak="0" w:abstractNumId="8">
    <w:nsid w:val="45AF0D01"/>
    <w:multiLevelType w:val="multilevel"/>
    <w:tmpl w:val="AFDAEB0C"/>
    <w:lvl w:ilvl="0">
      <w:start w:val="1"/>
      <w:numFmt w:val="upperRoman"/>
      <w:lvlText w:val="Article %1."/>
      <w:lvlJc w:val="left"/>
      <w:pPr>
        <w:ind w:firstLine="0" w:left="0"/>
      </w:pPr>
    </w:lvl>
    <w:lvl w:ilvl="1">
      <w:start w:val="1"/>
      <w:numFmt w:val="decimalZero"/>
      <w:isLgl/>
      <w:lvlText w:val="Section %1.%2"/>
      <w:lvlJc w:val="left"/>
      <w:pPr>
        <w:ind w:firstLine="0" w:left="0"/>
      </w:pPr>
    </w:lvl>
    <w:lvl w:ilvl="2">
      <w:start w:val="1"/>
      <w:numFmt w:val="lowerLetter"/>
      <w:lvlText w:val="(%3)"/>
      <w:lvlJc w:val="left"/>
      <w:pPr>
        <w:ind w:hanging="432" w:left="720"/>
      </w:pPr>
    </w:lvl>
    <w:lvl w:ilvl="3">
      <w:start w:val="1"/>
      <w:numFmt w:val="lowerRoman"/>
      <w:lvlText w:val="(%4)"/>
      <w:lvlJc w:val="right"/>
      <w:pPr>
        <w:ind w:hanging="144" w:left="864"/>
      </w:pPr>
    </w:lvl>
    <w:lvl w:ilvl="4">
      <w:start w:val="1"/>
      <w:numFmt w:val="decimal"/>
      <w:lvlText w:val="%5)"/>
      <w:lvlJc w:val="left"/>
      <w:pPr>
        <w:ind w:hanging="432" w:left="1008"/>
      </w:pPr>
    </w:lvl>
    <w:lvl w:ilvl="5">
      <w:start w:val="1"/>
      <w:numFmt w:val="lowerLetter"/>
      <w:lvlText w:val="%6)"/>
      <w:lvlJc w:val="left"/>
      <w:pPr>
        <w:ind w:hanging="432" w:left="1152"/>
      </w:pPr>
    </w:lvl>
    <w:lvl w:ilvl="6">
      <w:start w:val="1"/>
      <w:numFmt w:val="lowerRoman"/>
      <w:lvlText w:val="%7)"/>
      <w:lvlJc w:val="right"/>
      <w:pPr>
        <w:ind w:hanging="288" w:left="1296"/>
      </w:pPr>
    </w:lvl>
    <w:lvl w:ilvl="7">
      <w:start w:val="1"/>
      <w:numFmt w:val="lowerLetter"/>
      <w:lvlText w:val="%8."/>
      <w:lvlJc w:val="left"/>
      <w:pPr>
        <w:ind w:hanging="432" w:left="1440"/>
      </w:pPr>
    </w:lvl>
    <w:lvl w:ilvl="8">
      <w:start w:val="1"/>
      <w:numFmt w:val="lowerRoman"/>
      <w:lvlText w:val="%9."/>
      <w:lvlJc w:val="right"/>
      <w:pPr>
        <w:ind w:hanging="144" w:left="1584"/>
      </w:pPr>
    </w:lvl>
  </w:abstractNum>
  <w:abstractNum w15:restartNumberingAfterBreak="0" w:abstractNumId="9">
    <w:nsid w:val="495B6C2C"/>
    <w:multiLevelType w:val="hybridMultilevel"/>
    <w:tmpl w:val="1F86C7B0"/>
    <w:lvl w:ilvl="0" w:tplc="99365A56">
      <w:start w:val="10"/>
      <w:numFmt w:val="bullet"/>
      <w:lvlText w:val="-"/>
      <w:lvlJc w:val="left"/>
      <w:pPr>
        <w:ind w:hanging="360" w:left="760"/>
      </w:pPr>
      <w:rPr>
        <w:rFonts w:ascii="Arial" w:cs="Arial" w:eastAsia="Gulim" w:hAnsi="Arial" w:hint="default"/>
      </w:rPr>
    </w:lvl>
    <w:lvl w:ilvl="1" w:tplc="04090003">
      <w:start w:val="1"/>
      <w:numFmt w:val="bullet"/>
      <w:lvlText w:val=""/>
      <w:lvlJc w:val="left"/>
      <w:pPr>
        <w:ind w:hanging="400" w:left="1200"/>
      </w:pPr>
      <w:rPr>
        <w:rFonts w:ascii="Wingdings" w:hAnsi="Wingdings" w:hint="default"/>
      </w:rPr>
    </w:lvl>
    <w:lvl w:ilvl="2" w:tentative="1" w:tplc="04090005">
      <w:start w:val="1"/>
      <w:numFmt w:val="bullet"/>
      <w:lvlText w:val=""/>
      <w:lvlJc w:val="left"/>
      <w:pPr>
        <w:ind w:hanging="400" w:left="1600"/>
      </w:pPr>
      <w:rPr>
        <w:rFonts w:ascii="Wingdings" w:hAnsi="Wingdings" w:hint="default"/>
      </w:rPr>
    </w:lvl>
    <w:lvl w:ilvl="3" w:tentative="1" w:tplc="04090001">
      <w:start w:val="1"/>
      <w:numFmt w:val="bullet"/>
      <w:lvlText w:val=""/>
      <w:lvlJc w:val="left"/>
      <w:pPr>
        <w:ind w:hanging="400" w:left="2000"/>
      </w:pPr>
      <w:rPr>
        <w:rFonts w:ascii="Wingdings" w:hAnsi="Wingdings" w:hint="default"/>
      </w:rPr>
    </w:lvl>
    <w:lvl w:ilvl="4" w:tentative="1" w:tplc="04090003">
      <w:start w:val="1"/>
      <w:numFmt w:val="bullet"/>
      <w:lvlText w:val=""/>
      <w:lvlJc w:val="left"/>
      <w:pPr>
        <w:ind w:hanging="400" w:left="2400"/>
      </w:pPr>
      <w:rPr>
        <w:rFonts w:ascii="Wingdings" w:hAnsi="Wingdings" w:hint="default"/>
      </w:rPr>
    </w:lvl>
    <w:lvl w:ilvl="5" w:tentative="1" w:tplc="04090005">
      <w:start w:val="1"/>
      <w:numFmt w:val="bullet"/>
      <w:lvlText w:val=""/>
      <w:lvlJc w:val="left"/>
      <w:pPr>
        <w:ind w:hanging="400" w:left="2800"/>
      </w:pPr>
      <w:rPr>
        <w:rFonts w:ascii="Wingdings" w:hAnsi="Wingdings" w:hint="default"/>
      </w:rPr>
    </w:lvl>
    <w:lvl w:ilvl="6" w:tentative="1" w:tplc="04090001">
      <w:start w:val="1"/>
      <w:numFmt w:val="bullet"/>
      <w:lvlText w:val=""/>
      <w:lvlJc w:val="left"/>
      <w:pPr>
        <w:ind w:hanging="400" w:left="3200"/>
      </w:pPr>
      <w:rPr>
        <w:rFonts w:ascii="Wingdings" w:hAnsi="Wingdings" w:hint="default"/>
      </w:rPr>
    </w:lvl>
    <w:lvl w:ilvl="7" w:tentative="1" w:tplc="04090003">
      <w:start w:val="1"/>
      <w:numFmt w:val="bullet"/>
      <w:lvlText w:val=""/>
      <w:lvlJc w:val="left"/>
      <w:pPr>
        <w:ind w:hanging="400" w:left="3600"/>
      </w:pPr>
      <w:rPr>
        <w:rFonts w:ascii="Wingdings" w:hAnsi="Wingdings" w:hint="default"/>
      </w:rPr>
    </w:lvl>
    <w:lvl w:ilvl="8" w:tentative="1" w:tplc="04090005">
      <w:start w:val="1"/>
      <w:numFmt w:val="bullet"/>
      <w:lvlText w:val=""/>
      <w:lvlJc w:val="left"/>
      <w:pPr>
        <w:ind w:hanging="400" w:left="4000"/>
      </w:pPr>
      <w:rPr>
        <w:rFonts w:ascii="Wingdings" w:hAnsi="Wingdings" w:hint="default"/>
      </w:rPr>
    </w:lvl>
  </w:abstractNum>
  <w:abstractNum w15:restartNumberingAfterBreak="0" w:abstractNumId="10">
    <w:nsid w:val="4F2D3CBA"/>
    <w:multiLevelType w:val="hybridMultilevel"/>
    <w:tmpl w:val="E770663C"/>
    <w:lvl w:ilvl="0" w:tplc="C86A0B8A">
      <w:start w:val="1"/>
      <w:numFmt w:val="lowerLetter"/>
      <w:pStyle w:val="BL"/>
      <w:lvlText w:val="%1)"/>
      <w:lvlJc w:val="left"/>
      <w:pPr>
        <w:tabs>
          <w:tab w:pos="737" w:val="num"/>
        </w:tabs>
        <w:ind w:hanging="453" w:left="737"/>
      </w:pPr>
      <w:rPr>
        <w:rFonts w:hint="default"/>
      </w:rPr>
    </w:lvl>
    <w:lvl w:ilvl="1" w:tentative="1" w:tplc="04090019">
      <w:start w:val="1"/>
      <w:numFmt w:val="lowerLetter"/>
      <w:lvlText w:val="%2."/>
      <w:lvlJc w:val="left"/>
      <w:pPr>
        <w:tabs>
          <w:tab w:pos="1440" w:val="num"/>
        </w:tabs>
        <w:ind w:hanging="360" w:left="1440"/>
      </w:pPr>
    </w:lvl>
    <w:lvl w:ilvl="2" w:tentative="1" w:tplc="0409001B">
      <w:start w:val="1"/>
      <w:numFmt w:val="lowerRoman"/>
      <w:lvlText w:val="%3."/>
      <w:lvlJc w:val="right"/>
      <w:pPr>
        <w:tabs>
          <w:tab w:pos="2160" w:val="num"/>
        </w:tabs>
        <w:ind w:hanging="180" w:left="2160"/>
      </w:pPr>
    </w:lvl>
    <w:lvl w:ilvl="3" w:tentative="1" w:tplc="0409000F">
      <w:start w:val="1"/>
      <w:numFmt w:val="decimal"/>
      <w:lvlText w:val="%4."/>
      <w:lvlJc w:val="left"/>
      <w:pPr>
        <w:tabs>
          <w:tab w:pos="2880" w:val="num"/>
        </w:tabs>
        <w:ind w:hanging="360" w:left="2880"/>
      </w:pPr>
    </w:lvl>
    <w:lvl w:ilvl="4" w:tentative="1" w:tplc="04090019">
      <w:start w:val="1"/>
      <w:numFmt w:val="lowerLetter"/>
      <w:lvlText w:val="%5."/>
      <w:lvlJc w:val="left"/>
      <w:pPr>
        <w:tabs>
          <w:tab w:pos="3600" w:val="num"/>
        </w:tabs>
        <w:ind w:hanging="360" w:left="3600"/>
      </w:pPr>
    </w:lvl>
    <w:lvl w:ilvl="5" w:tentative="1" w:tplc="0409001B">
      <w:start w:val="1"/>
      <w:numFmt w:val="lowerRoman"/>
      <w:lvlText w:val="%6."/>
      <w:lvlJc w:val="right"/>
      <w:pPr>
        <w:tabs>
          <w:tab w:pos="4320" w:val="num"/>
        </w:tabs>
        <w:ind w:hanging="180" w:left="4320"/>
      </w:pPr>
    </w:lvl>
    <w:lvl w:ilvl="6" w:tentative="1" w:tplc="0409000F">
      <w:start w:val="1"/>
      <w:numFmt w:val="decimal"/>
      <w:lvlText w:val="%7."/>
      <w:lvlJc w:val="left"/>
      <w:pPr>
        <w:tabs>
          <w:tab w:pos="5040" w:val="num"/>
        </w:tabs>
        <w:ind w:hanging="360" w:left="5040"/>
      </w:pPr>
    </w:lvl>
    <w:lvl w:ilvl="7" w:tentative="1" w:tplc="04090019">
      <w:start w:val="1"/>
      <w:numFmt w:val="lowerLetter"/>
      <w:lvlText w:val="%8."/>
      <w:lvlJc w:val="left"/>
      <w:pPr>
        <w:tabs>
          <w:tab w:pos="5760" w:val="num"/>
        </w:tabs>
        <w:ind w:hanging="360" w:left="5760"/>
      </w:pPr>
    </w:lvl>
    <w:lvl w:ilvl="8" w:tentative="1" w:tplc="0409001B">
      <w:start w:val="1"/>
      <w:numFmt w:val="lowerRoman"/>
      <w:lvlText w:val="%9."/>
      <w:lvlJc w:val="right"/>
      <w:pPr>
        <w:tabs>
          <w:tab w:pos="6480" w:val="num"/>
        </w:tabs>
        <w:ind w:hanging="180" w:left="6480"/>
      </w:pPr>
    </w:lvl>
  </w:abstractNum>
  <w:abstractNum w15:restartNumberingAfterBreak="0" w:abstractNumId="11">
    <w:nsid w:val="51027013"/>
    <w:multiLevelType w:val="multilevel"/>
    <w:tmpl w:val="C3F2A7FA"/>
    <w:lvl w:ilvl="0">
      <w:start w:val="1"/>
      <w:numFmt w:val="upperRoman"/>
      <w:lvlText w:val="Article %1."/>
      <w:lvlJc w:val="left"/>
      <w:pPr>
        <w:ind w:firstLine="0" w:left="0"/>
      </w:pPr>
    </w:lvl>
    <w:lvl w:ilvl="1">
      <w:start w:val="1"/>
      <w:numFmt w:val="decimalZero"/>
      <w:isLgl/>
      <w:lvlText w:val="Section %1.%2"/>
      <w:lvlJc w:val="left"/>
      <w:pPr>
        <w:ind w:firstLine="0" w:left="0"/>
      </w:pPr>
    </w:lvl>
    <w:lvl w:ilvl="2">
      <w:start w:val="1"/>
      <w:numFmt w:val="lowerLetter"/>
      <w:lvlText w:val="(%3)"/>
      <w:lvlJc w:val="left"/>
      <w:pPr>
        <w:ind w:hanging="432" w:left="720"/>
      </w:pPr>
    </w:lvl>
    <w:lvl w:ilvl="3">
      <w:start w:val="1"/>
      <w:numFmt w:val="lowerRoman"/>
      <w:lvlText w:val="(%4)"/>
      <w:lvlJc w:val="right"/>
      <w:pPr>
        <w:ind w:hanging="144" w:left="864"/>
      </w:pPr>
    </w:lvl>
    <w:lvl w:ilvl="4">
      <w:start w:val="1"/>
      <w:numFmt w:val="decimal"/>
      <w:lvlText w:val="%5)"/>
      <w:lvlJc w:val="left"/>
      <w:pPr>
        <w:ind w:hanging="432" w:left="1008"/>
      </w:pPr>
    </w:lvl>
    <w:lvl w:ilvl="5">
      <w:start w:val="1"/>
      <w:numFmt w:val="lowerLetter"/>
      <w:lvlText w:val="%6)"/>
      <w:lvlJc w:val="left"/>
      <w:pPr>
        <w:ind w:hanging="432" w:left="1152"/>
      </w:pPr>
    </w:lvl>
    <w:lvl w:ilvl="6">
      <w:start w:val="1"/>
      <w:numFmt w:val="lowerRoman"/>
      <w:lvlText w:val="%7)"/>
      <w:lvlJc w:val="right"/>
      <w:pPr>
        <w:ind w:hanging="288" w:left="1296"/>
      </w:pPr>
    </w:lvl>
    <w:lvl w:ilvl="7">
      <w:start w:val="1"/>
      <w:numFmt w:val="lowerLetter"/>
      <w:lvlText w:val="%8."/>
      <w:lvlJc w:val="left"/>
      <w:pPr>
        <w:ind w:hanging="432" w:left="1440"/>
      </w:pPr>
    </w:lvl>
    <w:lvl w:ilvl="8">
      <w:start w:val="1"/>
      <w:numFmt w:val="lowerRoman"/>
      <w:lvlText w:val="%9."/>
      <w:lvlJc w:val="right"/>
      <w:pPr>
        <w:ind w:hanging="144" w:left="1584"/>
      </w:pPr>
    </w:lvl>
  </w:abstractNum>
  <w:abstractNum w15:restartNumberingAfterBreak="0" w:abstractNumId="12">
    <w:nsid w:val="70BD643C"/>
    <w:multiLevelType w:val="hybridMultilevel"/>
    <w:tmpl w:val="699CF268"/>
    <w:lvl w:ilvl="0" w:tplc="1674C0D4">
      <w:start w:val="1"/>
      <w:numFmt w:val="bullet"/>
      <w:pStyle w:val="TB1"/>
      <w:lvlText w:val=""/>
      <w:lvlJc w:val="left"/>
      <w:pPr>
        <w:ind w:hanging="360" w:left="720"/>
      </w:pPr>
      <w:rPr>
        <w:rFonts w:ascii="Symbol" w:hAnsi="Symbol" w:hint="default"/>
      </w:rPr>
    </w:lvl>
    <w:lvl w:ilvl="1" w:tplc="2A0EB680">
      <w:start w:val="1"/>
      <w:numFmt w:val="bullet"/>
      <w:lvlText w:val=""/>
      <w:lvlJc w:val="left"/>
      <w:pPr>
        <w:ind w:hanging="360" w:left="1440"/>
      </w:pPr>
      <w:rPr>
        <w:rFonts w:ascii="Symbol" w:hAnsi="Symbol" w:hint="default"/>
        <w:color w:val="auto"/>
      </w:rPr>
    </w:lvl>
    <w:lvl w:ilvl="2" w:tentative="1" w:tplc="08090005">
      <w:start w:val="1"/>
      <w:numFmt w:val="bullet"/>
      <w:lvlText w:val=""/>
      <w:lvlJc w:val="left"/>
      <w:pPr>
        <w:ind w:hanging="360" w:left="2160"/>
      </w:pPr>
      <w:rPr>
        <w:rFonts w:ascii="Wingdings" w:hAnsi="Wingdings" w:hint="default"/>
      </w:rPr>
    </w:lvl>
    <w:lvl w:ilvl="3" w:tentative="1" w:tplc="08090001">
      <w:start w:val="1"/>
      <w:numFmt w:val="bullet"/>
      <w:lvlText w:val=""/>
      <w:lvlJc w:val="left"/>
      <w:pPr>
        <w:ind w:hanging="360" w:left="2880"/>
      </w:pPr>
      <w:rPr>
        <w:rFonts w:ascii="Symbol" w:hAnsi="Symbol" w:hint="default"/>
      </w:rPr>
    </w:lvl>
    <w:lvl w:ilvl="4" w:tentative="1" w:tplc="08090003">
      <w:start w:val="1"/>
      <w:numFmt w:val="bullet"/>
      <w:lvlText w:val="o"/>
      <w:lvlJc w:val="left"/>
      <w:pPr>
        <w:ind w:hanging="360" w:left="3600"/>
      </w:pPr>
      <w:rPr>
        <w:rFonts w:ascii="Courier New" w:cs="Courier New" w:hAnsi="Courier New" w:hint="default"/>
      </w:rPr>
    </w:lvl>
    <w:lvl w:ilvl="5" w:tentative="1" w:tplc="08090005">
      <w:start w:val="1"/>
      <w:numFmt w:val="bullet"/>
      <w:lvlText w:val=""/>
      <w:lvlJc w:val="left"/>
      <w:pPr>
        <w:ind w:hanging="360" w:left="4320"/>
      </w:pPr>
      <w:rPr>
        <w:rFonts w:ascii="Wingdings" w:hAnsi="Wingdings" w:hint="default"/>
      </w:rPr>
    </w:lvl>
    <w:lvl w:ilvl="6" w:tentative="1" w:tplc="08090001">
      <w:start w:val="1"/>
      <w:numFmt w:val="bullet"/>
      <w:lvlText w:val=""/>
      <w:lvlJc w:val="left"/>
      <w:pPr>
        <w:ind w:hanging="360" w:left="5040"/>
      </w:pPr>
      <w:rPr>
        <w:rFonts w:ascii="Symbol" w:hAnsi="Symbol" w:hint="default"/>
      </w:rPr>
    </w:lvl>
    <w:lvl w:ilvl="7" w:tentative="1" w:tplc="08090003">
      <w:start w:val="1"/>
      <w:numFmt w:val="bullet"/>
      <w:lvlText w:val="o"/>
      <w:lvlJc w:val="left"/>
      <w:pPr>
        <w:ind w:hanging="360" w:left="5760"/>
      </w:pPr>
      <w:rPr>
        <w:rFonts w:ascii="Courier New" w:cs="Courier New" w:hAnsi="Courier New" w:hint="default"/>
      </w:rPr>
    </w:lvl>
    <w:lvl w:ilvl="8" w:tentative="1" w:tplc="08090005">
      <w:start w:val="1"/>
      <w:numFmt w:val="bullet"/>
      <w:lvlText w:val=""/>
      <w:lvlJc w:val="left"/>
      <w:pPr>
        <w:ind w:hanging="360" w:left="6480"/>
      </w:pPr>
      <w:rPr>
        <w:rFonts w:ascii="Wingdings" w:hAnsi="Wingdings" w:hint="default"/>
      </w:rPr>
    </w:lvl>
  </w:abstractNum>
  <w:abstractNum w15:restartNumberingAfterBreak="0" w:abstractNumId="13">
    <w:nsid w:val="79156C54"/>
    <w:multiLevelType w:val="hybridMultilevel"/>
    <w:tmpl w:val="EAFC6A0C"/>
    <w:lvl w:ilvl="0" w:tplc="8564E26C">
      <w:start w:val="1"/>
      <w:numFmt w:val="bullet"/>
      <w:pStyle w:val="B2"/>
      <w:lvlText w:val="-"/>
      <w:lvlJc w:val="left"/>
      <w:pPr>
        <w:tabs>
          <w:tab w:pos="1191" w:val="num"/>
        </w:tabs>
        <w:ind w:hanging="454" w:left="1191"/>
      </w:pPr>
      <w:rPr>
        <w:rFonts w:hint="default"/>
      </w:rPr>
    </w:lvl>
    <w:lvl w:ilvl="1" w:tentative="1" w:tplc="04090003">
      <w:start w:val="1"/>
      <w:numFmt w:val="bullet"/>
      <w:lvlText w:val="o"/>
      <w:lvlJc w:val="left"/>
      <w:pPr>
        <w:tabs>
          <w:tab w:pos="1440" w:val="num"/>
        </w:tabs>
        <w:ind w:hanging="360" w:left="1440"/>
      </w:pPr>
      <w:rPr>
        <w:rFonts w:ascii="Courier New" w:hAnsi="Courier New" w:hint="default"/>
      </w:rPr>
    </w:lvl>
    <w:lvl w:ilvl="2" w:tentative="1" w:tplc="04090005">
      <w:start w:val="1"/>
      <w:numFmt w:val="bullet"/>
      <w:lvlText w:val=""/>
      <w:lvlJc w:val="left"/>
      <w:pPr>
        <w:tabs>
          <w:tab w:pos="2160" w:val="num"/>
        </w:tabs>
        <w:ind w:hanging="360" w:left="2160"/>
      </w:pPr>
      <w:rPr>
        <w:rFonts w:ascii="Wingdings" w:hAnsi="Wingdings" w:hint="default"/>
      </w:rPr>
    </w:lvl>
    <w:lvl w:ilvl="3" w:tentative="1" w:tplc="04090001">
      <w:start w:val="1"/>
      <w:numFmt w:val="bullet"/>
      <w:lvlText w:val=""/>
      <w:lvlJc w:val="left"/>
      <w:pPr>
        <w:tabs>
          <w:tab w:pos="2880" w:val="num"/>
        </w:tabs>
        <w:ind w:hanging="360" w:left="2880"/>
      </w:pPr>
      <w:rPr>
        <w:rFonts w:ascii="Symbol" w:hAnsi="Symbol" w:hint="default"/>
      </w:rPr>
    </w:lvl>
    <w:lvl w:ilvl="4" w:tentative="1" w:tplc="04090003">
      <w:start w:val="1"/>
      <w:numFmt w:val="bullet"/>
      <w:lvlText w:val="o"/>
      <w:lvlJc w:val="left"/>
      <w:pPr>
        <w:tabs>
          <w:tab w:pos="3600" w:val="num"/>
        </w:tabs>
        <w:ind w:hanging="360" w:left="3600"/>
      </w:pPr>
      <w:rPr>
        <w:rFonts w:ascii="Courier New" w:hAnsi="Courier New" w:hint="default"/>
      </w:rPr>
    </w:lvl>
    <w:lvl w:ilvl="5" w:tentative="1" w:tplc="04090005">
      <w:start w:val="1"/>
      <w:numFmt w:val="bullet"/>
      <w:lvlText w:val=""/>
      <w:lvlJc w:val="left"/>
      <w:pPr>
        <w:tabs>
          <w:tab w:pos="4320" w:val="num"/>
        </w:tabs>
        <w:ind w:hanging="360" w:left="4320"/>
      </w:pPr>
      <w:rPr>
        <w:rFonts w:ascii="Wingdings" w:hAnsi="Wingdings" w:hint="default"/>
      </w:rPr>
    </w:lvl>
    <w:lvl w:ilvl="6" w:tentative="1" w:tplc="04090001">
      <w:start w:val="1"/>
      <w:numFmt w:val="bullet"/>
      <w:lvlText w:val=""/>
      <w:lvlJc w:val="left"/>
      <w:pPr>
        <w:tabs>
          <w:tab w:pos="5040" w:val="num"/>
        </w:tabs>
        <w:ind w:hanging="360" w:left="5040"/>
      </w:pPr>
      <w:rPr>
        <w:rFonts w:ascii="Symbol" w:hAnsi="Symbol" w:hint="default"/>
      </w:rPr>
    </w:lvl>
    <w:lvl w:ilvl="7" w:tentative="1" w:tplc="04090003">
      <w:start w:val="1"/>
      <w:numFmt w:val="bullet"/>
      <w:lvlText w:val="o"/>
      <w:lvlJc w:val="left"/>
      <w:pPr>
        <w:tabs>
          <w:tab w:pos="5760" w:val="num"/>
        </w:tabs>
        <w:ind w:hanging="360" w:left="5760"/>
      </w:pPr>
      <w:rPr>
        <w:rFonts w:ascii="Courier New" w:hAnsi="Courier New" w:hint="default"/>
      </w:rPr>
    </w:lvl>
    <w:lvl w:ilvl="8" w:tentative="1" w:tplc="04090005">
      <w:start w:val="1"/>
      <w:numFmt w:val="bullet"/>
      <w:lvlText w:val=""/>
      <w:lvlJc w:val="left"/>
      <w:pPr>
        <w:tabs>
          <w:tab w:pos="6480" w:val="num"/>
        </w:tabs>
        <w:ind w:hanging="360" w:left="6480"/>
      </w:pPr>
      <w:rPr>
        <w:rFonts w:ascii="Wingdings" w:hAnsi="Wingdings" w:hint="default"/>
      </w:rPr>
    </w:lvl>
  </w:abstractNum>
  <w:abstractNum w15:restartNumberingAfterBreak="0" w:abstractNumId="14">
    <w:nsid w:val="792F5895"/>
    <w:multiLevelType w:val="hybridMultilevel"/>
    <w:tmpl w:val="18ACF656"/>
    <w:lvl w:ilvl="0" w:tplc="48BE087C">
      <w:start w:val="1"/>
      <w:numFmt w:val="bullet"/>
      <w:pStyle w:val="TB2"/>
      <w:lvlText w:val=""/>
      <w:lvlJc w:val="left"/>
      <w:pPr>
        <w:ind w:hanging="360" w:left="1403"/>
      </w:pPr>
      <w:rPr>
        <w:rFonts w:ascii="Symbol" w:hAnsi="Symbol" w:hint="default"/>
      </w:rPr>
    </w:lvl>
    <w:lvl w:ilvl="1" w:tentative="1" w:tplc="04090003">
      <w:start w:val="1"/>
      <w:numFmt w:val="bullet"/>
      <w:lvlText w:val="o"/>
      <w:lvlJc w:val="left"/>
      <w:pPr>
        <w:ind w:hanging="360" w:left="2123"/>
      </w:pPr>
      <w:rPr>
        <w:rFonts w:ascii="Courier New" w:cs="Courier New" w:hAnsi="Courier New" w:hint="default"/>
      </w:rPr>
    </w:lvl>
    <w:lvl w:ilvl="2" w:tentative="1" w:tplc="04090005">
      <w:start w:val="1"/>
      <w:numFmt w:val="bullet"/>
      <w:lvlText w:val=""/>
      <w:lvlJc w:val="left"/>
      <w:pPr>
        <w:ind w:hanging="360" w:left="2843"/>
      </w:pPr>
      <w:rPr>
        <w:rFonts w:ascii="Wingdings" w:hAnsi="Wingdings" w:hint="default"/>
      </w:rPr>
    </w:lvl>
    <w:lvl w:ilvl="3" w:tentative="1" w:tplc="04090001">
      <w:start w:val="1"/>
      <w:numFmt w:val="bullet"/>
      <w:lvlText w:val=""/>
      <w:lvlJc w:val="left"/>
      <w:pPr>
        <w:ind w:hanging="360" w:left="3563"/>
      </w:pPr>
      <w:rPr>
        <w:rFonts w:ascii="Symbol" w:hAnsi="Symbol" w:hint="default"/>
      </w:rPr>
    </w:lvl>
    <w:lvl w:ilvl="4" w:tentative="1" w:tplc="04090003">
      <w:start w:val="1"/>
      <w:numFmt w:val="bullet"/>
      <w:lvlText w:val="o"/>
      <w:lvlJc w:val="left"/>
      <w:pPr>
        <w:ind w:hanging="360" w:left="4283"/>
      </w:pPr>
      <w:rPr>
        <w:rFonts w:ascii="Courier New" w:cs="Courier New" w:hAnsi="Courier New" w:hint="default"/>
      </w:rPr>
    </w:lvl>
    <w:lvl w:ilvl="5" w:tentative="1" w:tplc="04090005">
      <w:start w:val="1"/>
      <w:numFmt w:val="bullet"/>
      <w:lvlText w:val=""/>
      <w:lvlJc w:val="left"/>
      <w:pPr>
        <w:ind w:hanging="360" w:left="5003"/>
      </w:pPr>
      <w:rPr>
        <w:rFonts w:ascii="Wingdings" w:hAnsi="Wingdings" w:hint="default"/>
      </w:rPr>
    </w:lvl>
    <w:lvl w:ilvl="6" w:tentative="1" w:tplc="04090001">
      <w:start w:val="1"/>
      <w:numFmt w:val="bullet"/>
      <w:lvlText w:val=""/>
      <w:lvlJc w:val="left"/>
      <w:pPr>
        <w:ind w:hanging="360" w:left="5723"/>
      </w:pPr>
      <w:rPr>
        <w:rFonts w:ascii="Symbol" w:hAnsi="Symbol" w:hint="default"/>
      </w:rPr>
    </w:lvl>
    <w:lvl w:ilvl="7" w:tentative="1" w:tplc="04090003">
      <w:start w:val="1"/>
      <w:numFmt w:val="bullet"/>
      <w:lvlText w:val="o"/>
      <w:lvlJc w:val="left"/>
      <w:pPr>
        <w:ind w:hanging="360" w:left="6443"/>
      </w:pPr>
      <w:rPr>
        <w:rFonts w:ascii="Courier New" w:cs="Courier New" w:hAnsi="Courier New" w:hint="default"/>
      </w:rPr>
    </w:lvl>
    <w:lvl w:ilvl="8" w:tentative="1" w:tplc="04090005">
      <w:start w:val="1"/>
      <w:numFmt w:val="bullet"/>
      <w:lvlText w:val=""/>
      <w:lvlJc w:val="left"/>
      <w:pPr>
        <w:ind w:hanging="360" w:left="7163"/>
      </w:pPr>
      <w:rPr>
        <w:rFonts w:ascii="Wingdings" w:hAnsi="Wingdings" w:hint="default"/>
      </w:rPr>
    </w:lvl>
  </w:abstractNum>
  <w:abstractNum w:abstractNumId="990">
    <w:nsid w:val="0000A990"/>
    <w:multiLevelType w:val="multilevel"/>
    <w:lvl w:ilvl="0">
      <w:numFmt w:val="bullet"/>
      <w:lvlText w:val=" "/>
      <w:lvlJc w:val="left"/>
      <w:pPr>
        <w:ind w:left="720" w:hanging="360"/>
      </w:pPr>
    </w:lvl>
    <w:lvl w:ilvl="1">
      <w:numFmt w:val="bullet"/>
      <w:lvlText w:val=" "/>
      <w:lvlJc w:val="left"/>
      <w:pPr>
        <w:ind w:left="1440" w:hanging="360"/>
      </w:pPr>
    </w:lvl>
    <w:lvl w:ilvl="2">
      <w:numFmt w:val="bullet"/>
      <w:lvlText w:val=" "/>
      <w:lvlJc w:val="left"/>
      <w:pPr>
        <w:ind w:left="2160" w:hanging="360"/>
      </w:pPr>
    </w:lvl>
    <w:lvl w:ilvl="3">
      <w:numFmt w:val="bullet"/>
      <w:lvlText w:val=" "/>
      <w:lvlJc w:val="left"/>
      <w:pPr>
        <w:ind w:left="2880" w:hanging="360"/>
      </w:pPr>
    </w:lvl>
    <w:lvl w:ilvl="4">
      <w:numFmt w:val="bullet"/>
      <w:lvlText w:val=" "/>
      <w:lvlJc w:val="left"/>
      <w:pPr>
        <w:ind w:left="3600" w:hanging="360"/>
      </w:pPr>
    </w:lvl>
    <w:lvl w:ilvl="5">
      <w:numFmt w:val="bullet"/>
      <w:lvlText w:val=" "/>
      <w:lvlJc w:val="left"/>
      <w:pPr>
        <w:ind w:left="4320" w:hanging="360"/>
      </w:pPr>
    </w:lvl>
    <w:lvl w:ilvl="6">
      <w:numFmt w:val="bullet"/>
      <w:lvlText w:val=" "/>
      <w:lvlJc w:val="left"/>
      <w:pPr>
        <w:ind w:left="5040" w:hanging="360"/>
      </w:pPr>
    </w:lvl>
    <w:lvl w:ilvl="7">
      <w:numFmt w:val="bullet"/>
      <w:lvlText w:val=" "/>
      <w:lvlJc w:val="left"/>
      <w:pPr>
        <w:ind w:left="5760" w:hanging="360"/>
      </w:pPr>
    </w:lvl>
    <w:lvl w:ilvl="8">
      <w:numFmt w:val="bullet"/>
      <w:lvlText w:val=" "/>
      <w:lvlJc w:val="left"/>
      <w:pPr>
        <w:ind w:left="6480" w:hanging="360"/>
      </w:pPr>
    </w:lvl>
  </w:abstractNum>
  <w:abstractNum w:abstractNumId="99733">
    <w:nsid w:val="00A99733"/>
    <w:multiLevelType w:val="multilevel"/>
    <w:lvl w:ilvl="0">
      <w:start w:val="3"/>
      <w:numFmt w:val="lowerLetter"/>
      <w:lvlText w:val="(%1)"/>
      <w:lvlJc w:val="left"/>
      <w:pPr>
        <w:ind w:left="720" w:hanging="360"/>
      </w:pPr>
    </w:lvl>
    <w:lvl w:ilvl="1">
      <w:start w:val="3"/>
      <w:numFmt w:val="lowerLetter"/>
      <w:lvlText w:val="(%2)"/>
      <w:lvlJc w:val="left"/>
      <w:pPr>
        <w:ind w:left="1440" w:hanging="360"/>
      </w:pPr>
    </w:lvl>
    <w:lvl w:ilvl="2">
      <w:start w:val="3"/>
      <w:numFmt w:val="lowerLetter"/>
      <w:lvlText w:val="(%3)"/>
      <w:lvlJc w:val="left"/>
      <w:pPr>
        <w:ind w:left="2160" w:hanging="360"/>
      </w:pPr>
    </w:lvl>
    <w:lvl w:ilvl="3">
      <w:start w:val="3"/>
      <w:numFmt w:val="lowerLetter"/>
      <w:lvlText w:val="(%4)"/>
      <w:lvlJc w:val="left"/>
      <w:pPr>
        <w:ind w:left="2880" w:hanging="360"/>
      </w:pPr>
    </w:lvl>
    <w:lvl w:ilvl="4">
      <w:start w:val="3"/>
      <w:numFmt w:val="lowerLetter"/>
      <w:lvlText w:val="(%5)"/>
      <w:lvlJc w:val="left"/>
      <w:pPr>
        <w:ind w:left="3600" w:hanging="360"/>
      </w:pPr>
    </w:lvl>
    <w:lvl w:ilvl="5">
      <w:start w:val="3"/>
      <w:numFmt w:val="lowerLetter"/>
      <w:lvlText w:val="(%6)"/>
      <w:lvlJc w:val="left"/>
      <w:pPr>
        <w:ind w:left="4320" w:hanging="360"/>
      </w:pPr>
    </w:lvl>
    <w:lvl w:ilvl="6">
      <w:start w:val="3"/>
      <w:numFmt w:val="lowerLetter"/>
      <w:lvlText w:val="(%7)"/>
      <w:lvlJc w:val="left"/>
      <w:pPr>
        <w:ind w:left="5040" w:hanging="360"/>
      </w:pPr>
    </w:lvl>
    <w:lvl w:ilvl="7">
      <w:start w:val="3"/>
      <w:numFmt w:val="lowerLetter"/>
      <w:lvlText w:val="(%8)"/>
      <w:lvlJc w:val="left"/>
      <w:pPr>
        <w:ind w:left="5760" w:hanging="360"/>
      </w:pPr>
    </w:lvl>
    <w:lvl w:ilvl="8">
      <w:start w:val="3"/>
      <w:numFmt w:val="lowerLetter"/>
      <w:lvlText w:val="(%9)"/>
      <w:lvlJc w:val="left"/>
      <w:pPr>
        <w:ind w:left="6480" w:hanging="360"/>
      </w:pPr>
    </w:lvl>
  </w:abstractNum>
  <w:abstractNum w:abstractNumId="991">
    <w:nsid w:val="0000A991"/>
    <w:multiLevelType w:val="multilevel"/>
    <w:lvl w:ilvl="0">
      <w:numFmt w:val="bullet"/>
      <w:lvlText w:val=""/>
      <w:lvlJc w:val="left"/>
      <w:pPr>
        <w:ind w:left="720" w:hanging="360"/>
      </w:pPr>
      <w:rPr>
        <w:rFonts w:ascii="Symbol" w:hAnsi="Symbol" w:cs="Symbol" w:hint="default"/>
      </w:rPr>
    </w:lvl>
    <w:lvl w:ilvl="1">
      <w:numFmt w:val="bullet"/>
      <w:lvlText w:val="o"/>
      <w:lvlJc w:val="left"/>
      <w:pPr>
        <w:ind w:left="1440" w:hanging="360"/>
      </w:pPr>
      <w:rPr>
        <w:rFonts w:ascii="Courier New" w:hAnsi="Courier New" w:cs="Courier New" w:hint="default"/>
      </w:rPr>
    </w:lvl>
    <w:lvl w:ilvl="2">
      <w:numFmt w:val="bullet"/>
      <w:lvlText w:val=""/>
      <w:lvlJc w:val="left"/>
      <w:pPr>
        <w:ind w:left="2160" w:hanging="360"/>
      </w:pPr>
      <w:rPr>
        <w:rFonts w:ascii="Wingdings" w:hAnsi="Wingdings" w:cs="Wingdings" w:hint="default"/>
      </w:rPr>
    </w:lvl>
    <w:lvl w:ilvl="3">
      <w:numFmt w:val="bullet"/>
      <w:lvlText w:val=""/>
      <w:lvlJc w:val="left"/>
      <w:pPr>
        <w:ind w:left="2880" w:hanging="360"/>
      </w:pPr>
      <w:rPr>
        <w:rFonts w:ascii="Symbol" w:hAnsi="Symbol" w:cs="Symbol" w:hint="default"/>
      </w:rPr>
    </w:lvl>
    <w:lvl w:ilvl="4">
      <w:numFmt w:val="bullet"/>
      <w:lvlText w:val="o"/>
      <w:lvlJc w:val="left"/>
      <w:pPr>
        <w:ind w:left="3600" w:hanging="360"/>
      </w:pPr>
      <w:rPr>
        <w:rFonts w:ascii="Courier New" w:hAnsi="Courier New" w:cs="Courier New" w:hint="default"/>
      </w:rPr>
    </w:lvl>
    <w:lvl w:ilvl="5">
      <w:numFmt w:val="bullet"/>
      <w:lvlText w:val=""/>
      <w:lvlJc w:val="left"/>
      <w:pPr>
        <w:ind w:left="4320" w:hanging="360"/>
      </w:pPr>
      <w:rPr>
        <w:rFonts w:ascii="Wingdings" w:hAnsi="Wingdings" w:cs="Wingdings" w:hint="default"/>
      </w:rPr>
    </w:lvl>
    <w:lvl w:ilvl="6">
      <w:numFmt w:val="bullet"/>
      <w:lvlText w:val=""/>
      <w:lvlJc w:val="left"/>
      <w:pPr>
        <w:ind w:left="5040" w:hanging="360"/>
      </w:pPr>
      <w:rPr>
        <w:rFonts w:ascii="Symbol" w:hAnsi="Symbol" w:cs="Symbol" w:hint="default"/>
      </w:rPr>
    </w:lvl>
    <w:lvl w:ilvl="7">
      <w:numFmt w:val="bullet"/>
      <w:lvlText w:val="o"/>
      <w:lvlJc w:val="left"/>
      <w:pPr>
        <w:ind w:left="5760" w:hanging="360"/>
      </w:pPr>
      <w:rPr>
        <w:rFonts w:ascii="Courier New" w:hAnsi="Courier New" w:cs="Courier New" w:hint="default"/>
      </w:rPr>
    </w:lvl>
    <w:lvl w:ilvl="8">
      <w:numFmt w:val="bullet"/>
      <w:lvlText w:val=""/>
      <w:lvlJc w:val="left"/>
      <w:pPr>
        <w:ind w:left="6480" w:hanging="360"/>
      </w:pPr>
      <w:rPr>
        <w:rFonts w:ascii="Wingdings" w:hAnsi="Wingdings" w:cs="Wingdings" w:hint="default"/>
      </w:rPr>
    </w:lvl>
  </w:abstractNum>
  <w:num w16cid:durableId="178783281" w:numId="1">
    <w:abstractNumId w:val="5"/>
  </w:num>
  <w:num w16cid:durableId="1006516249" w:numId="2">
    <w:abstractNumId w:val="13"/>
  </w:num>
  <w:num w16cid:durableId="1366446891" w:numId="3">
    <w:abstractNumId w:val="4"/>
  </w:num>
  <w:num w16cid:durableId="1319072490" w:numId="4">
    <w:abstractNumId w:val="6"/>
  </w:num>
  <w:num w16cid:durableId="589773667" w:numId="5">
    <w:abstractNumId w:val="10"/>
  </w:num>
  <w:num w16cid:durableId="1941403742" w:numId="6">
    <w:abstractNumId w:val="2"/>
  </w:num>
  <w:num w16cid:durableId="1248535467" w:numId="7">
    <w:abstractNumId w:val="1"/>
  </w:num>
  <w:num w16cid:durableId="2043554903" w:numId="8">
    <w:abstractNumId w:val="0"/>
  </w:num>
  <w:num w16cid:durableId="749501479" w:numId="9">
    <w:abstractNumId w:val="9"/>
  </w:num>
  <w:num w16cid:durableId="2022585256" w:numId="10">
    <w:abstractNumId w:val="7"/>
  </w:num>
  <w:num w16cid:durableId="1401051458" w:numId="11">
    <w:abstractNumId w:val="12"/>
  </w:num>
  <w:num w16cid:durableId="1671981979" w:numId="12">
    <w:abstractNumId w:val="14"/>
  </w:num>
  <w:num w16cid:durableId="2094931157" w:numId="13">
    <w:abstractNumId w:val="10"/>
    <w:lvlOverride w:ilvl="0">
      <w:startOverride w:val="1"/>
    </w:lvlOverride>
  </w:num>
  <w:num w16cid:durableId="349377532" w:numId="14">
    <w:abstractNumId w:val="6"/>
    <w:lvlOverride w:ilvl="0">
      <w:startOverride w:val="1"/>
    </w:lvlOverride>
  </w:num>
  <w:num w16cid:durableId="308750664" w:numId="15">
    <w:abstractNumId w:val="3"/>
  </w:num>
  <w:num w16cid:durableId="1623341093" w:numId="16">
    <w:abstractNumId w:val="11"/>
  </w:num>
  <w:num w16cid:durableId="429593347" w:numId="17">
    <w:abstractNumId w:val="8"/>
  </w:num>
  <w:num w:numId="1000">
    <w:abstractNumId w:val="990"/>
  </w:num>
  <w:num w:numId="1001">
    <w:abstractNumId w:val="99733"/>
    <w:lvlOverride w:ilvl="0">
      <w:startOverride w:val="3"/>
    </w:lvlOverride>
    <w:lvlOverride w:ilvl="1">
      <w:startOverride w:val="3"/>
    </w:lvlOverride>
    <w:lvlOverride w:ilvl="2">
      <w:startOverride w:val="3"/>
    </w:lvlOverride>
    <w:lvlOverride w:ilvl="3">
      <w:startOverride w:val="3"/>
    </w:lvlOverride>
    <w:lvlOverride w:ilvl="4">
      <w:startOverride w:val="3"/>
    </w:lvlOverride>
    <w:lvlOverride w:ilvl="5">
      <w:startOverride w:val="3"/>
    </w:lvlOverride>
    <w:lvlOverride w:ilvl="6">
      <w:startOverride w:val="3"/>
    </w:lvlOverride>
    <w:lvlOverride w:ilvl="7">
      <w:startOverride w:val="3"/>
    </w:lvlOverride>
    <w:lvlOverride w:ilvl="8">
      <w:startOverride w:val="3"/>
    </w:lvlOverride>
  </w:num>
  <w:num w:numId="1002">
    <w:abstractNumId w:val="991"/>
  </w:num>
  <w:num w:numId="1003">
    <w:abstractNumId w:val="991"/>
  </w:num>
  <w:num w:numId="1004">
    <w:abstractNumId w:val="991"/>
  </w:num>
</w:numbering>
</file>

<file path=word/settings.xml><?xml version="1.0" encoding="utf-8"?>
<w:settings xmlns:m="http://schemas.openxmlformats.org/officeDocument/2006/math" xmlns:o="urn:schemas-microsoft-com:office:office" xmlns:r="http://schemas.openxmlformats.org/officeDocument/2006/relationships" xmlns:sl="http://schemas.openxmlformats.org/schemaLibrary/2006/main" xmlns:v="urn:schemas-microsoft-com:vml" xmlns:w="http://schemas.openxmlformats.org/wordprocessingml/2006/main" xmlns:w10="urn:schemas-microsoft-com:office:word">
  <w:zoom w:percent="90"/>
  <w:embedSystemFonts/>
  <w:hideSpellingErrors/>
  <w:hideGrammaticalErrors/>
  <w:proofState w:grammar="clean" w:spelling="clean"/>
  <w:attachedTemplate r:id="rId1"/>
  <w:stylePaneFormatFilter w:allStyles="1" w:alternateStyleNames="0" w:clearFormatting="1" w:customStyles="0" w:directFormattingOnNumbering="1" w:directFormattingOnParagraphs="1" w:directFormattingOnRuns="1" w:directFormattingOnTables="1" w:headingStyles="0" w:latentStyles="0" w:numberingStyles="0" w:stylesInUse="0" w:tableStyles="0" w:top3HeadingStyles="1" w:val="3F01" w:visibleStyles="0"/>
  <w:doNotTrackMoves/>
  <w:documentProtection w:edit="trackedChanges" w:enforcement="0"/>
  <w:defaultTabStop w:val="284"/>
  <w:doNotHyphenateCaps/>
  <w:drawingGridHorizontalSpacing w:val="100"/>
  <w:drawingGridVerticalSpacing w:val="360"/>
  <w:displayHorizontalDrawingGridEvery w:val="0"/>
  <w:displayVerticalDrawingGridEvery w:val="0"/>
  <w:doNotShadeFormData/>
  <w:noPunctuationKerning/>
  <w:characterSpacingControl w:val="doNotCompress"/>
  <w:savePreviewPicture/>
  <w:hdrShapeDefaults>
    <o:shapedefaults fillcolor="white" spidmax="2050" v:ext="edit">
      <v:fill color="white"/>
      <v:stroke weight=".25pt"/>
    </o:shapedefaults>
  </w:hdrShapeDefaults>
  <w:compat>
    <w:doNotUseHTMLParagraphAutoSpacing/>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BB6418"/>
    <w:rsid w:val="00001A3E"/>
    <w:rsid w:val="000022D3"/>
    <w:rsid w:val="0000384D"/>
    <w:rsid w:val="000151FD"/>
    <w:rsid w:val="0001600E"/>
    <w:rsid w:val="00041DDD"/>
    <w:rsid w:val="00042630"/>
    <w:rsid w:val="000536C2"/>
    <w:rsid w:val="000565D9"/>
    <w:rsid w:val="000652B2"/>
    <w:rsid w:val="00067942"/>
    <w:rsid w:val="00070988"/>
    <w:rsid w:val="0007148F"/>
    <w:rsid w:val="00071920"/>
    <w:rsid w:val="00072C17"/>
    <w:rsid w:val="0007774F"/>
    <w:rsid w:val="00080A7B"/>
    <w:rsid w:val="00084C42"/>
    <w:rsid w:val="0008595E"/>
    <w:rsid w:val="00090BBE"/>
    <w:rsid w:val="00091EDB"/>
    <w:rsid w:val="000A1670"/>
    <w:rsid w:val="000A1D1C"/>
    <w:rsid w:val="000A68C6"/>
    <w:rsid w:val="000B299E"/>
    <w:rsid w:val="000B343D"/>
    <w:rsid w:val="000B524B"/>
    <w:rsid w:val="000B69A9"/>
    <w:rsid w:val="000C1E0E"/>
    <w:rsid w:val="000C4B89"/>
    <w:rsid w:val="000C6C0F"/>
    <w:rsid w:val="000C7C9A"/>
    <w:rsid w:val="000D4059"/>
    <w:rsid w:val="000D6914"/>
    <w:rsid w:val="000E1AA1"/>
    <w:rsid w:val="000E203C"/>
    <w:rsid w:val="000E5084"/>
    <w:rsid w:val="000E640E"/>
    <w:rsid w:val="000F0447"/>
    <w:rsid w:val="000F1776"/>
    <w:rsid w:val="000F2B33"/>
    <w:rsid w:val="0011067B"/>
    <w:rsid w:val="001238B5"/>
    <w:rsid w:val="001258E4"/>
    <w:rsid w:val="00127265"/>
    <w:rsid w:val="00131882"/>
    <w:rsid w:val="0013309B"/>
    <w:rsid w:val="001348AE"/>
    <w:rsid w:val="00145747"/>
    <w:rsid w:val="00147924"/>
    <w:rsid w:val="0015074B"/>
    <w:rsid w:val="0015170D"/>
    <w:rsid w:val="001521DF"/>
    <w:rsid w:val="001534F8"/>
    <w:rsid w:val="001536B5"/>
    <w:rsid w:val="0015416F"/>
    <w:rsid w:val="001543AD"/>
    <w:rsid w:val="0015571D"/>
    <w:rsid w:val="00161A65"/>
    <w:rsid w:val="00166707"/>
    <w:rsid w:val="0016730F"/>
    <w:rsid w:val="00172375"/>
    <w:rsid w:val="00176535"/>
    <w:rsid w:val="00176868"/>
    <w:rsid w:val="0017719C"/>
    <w:rsid w:val="0018117C"/>
    <w:rsid w:val="001817F3"/>
    <w:rsid w:val="00181CBF"/>
    <w:rsid w:val="00183462"/>
    <w:rsid w:val="00197244"/>
    <w:rsid w:val="001B1ACA"/>
    <w:rsid w:val="001B211B"/>
    <w:rsid w:val="001C254B"/>
    <w:rsid w:val="001C5D2C"/>
    <w:rsid w:val="001C67C6"/>
    <w:rsid w:val="001D7C27"/>
    <w:rsid w:val="001E10CB"/>
    <w:rsid w:val="001E16C0"/>
    <w:rsid w:val="001E5F05"/>
    <w:rsid w:val="001E73A3"/>
    <w:rsid w:val="001E7509"/>
    <w:rsid w:val="001F33D9"/>
    <w:rsid w:val="001F3880"/>
    <w:rsid w:val="001F4D0C"/>
    <w:rsid w:val="001F60E6"/>
    <w:rsid w:val="001F6248"/>
    <w:rsid w:val="00200D78"/>
    <w:rsid w:val="00201A90"/>
    <w:rsid w:val="002106E7"/>
    <w:rsid w:val="00212A56"/>
    <w:rsid w:val="0021334F"/>
    <w:rsid w:val="00213CEE"/>
    <w:rsid w:val="00216303"/>
    <w:rsid w:val="00221E89"/>
    <w:rsid w:val="0022206E"/>
    <w:rsid w:val="00235EE1"/>
    <w:rsid w:val="00236786"/>
    <w:rsid w:val="00243EE6"/>
    <w:rsid w:val="00245A9F"/>
    <w:rsid w:val="00251B91"/>
    <w:rsid w:val="00253832"/>
    <w:rsid w:val="00255BB7"/>
    <w:rsid w:val="002621D4"/>
    <w:rsid w:val="002664E6"/>
    <w:rsid w:val="002669AD"/>
    <w:rsid w:val="00267470"/>
    <w:rsid w:val="00270454"/>
    <w:rsid w:val="00274CC9"/>
    <w:rsid w:val="002802B9"/>
    <w:rsid w:val="002904EF"/>
    <w:rsid w:val="0029123E"/>
    <w:rsid w:val="002935BE"/>
    <w:rsid w:val="00296E38"/>
    <w:rsid w:val="002A4709"/>
    <w:rsid w:val="002C31BD"/>
    <w:rsid w:val="002C3FAB"/>
    <w:rsid w:val="002C411B"/>
    <w:rsid w:val="002D0A84"/>
    <w:rsid w:val="002D1521"/>
    <w:rsid w:val="002D2A2D"/>
    <w:rsid w:val="002D7308"/>
    <w:rsid w:val="002E1900"/>
    <w:rsid w:val="002E1D92"/>
    <w:rsid w:val="002E7566"/>
    <w:rsid w:val="002F0E64"/>
    <w:rsid w:val="002F28F5"/>
    <w:rsid w:val="002F3AEA"/>
    <w:rsid w:val="002F656E"/>
    <w:rsid w:val="002F6674"/>
    <w:rsid w:val="003016BB"/>
    <w:rsid w:val="00307F82"/>
    <w:rsid w:val="00312145"/>
    <w:rsid w:val="0031414C"/>
    <w:rsid w:val="003167CA"/>
    <w:rsid w:val="00322904"/>
    <w:rsid w:val="003235B3"/>
    <w:rsid w:val="00325E5A"/>
    <w:rsid w:val="00325EA3"/>
    <w:rsid w:val="0032615D"/>
    <w:rsid w:val="00332B40"/>
    <w:rsid w:val="003417BF"/>
    <w:rsid w:val="00341F87"/>
    <w:rsid w:val="003473AB"/>
    <w:rsid w:val="00347732"/>
    <w:rsid w:val="00356721"/>
    <w:rsid w:val="00363991"/>
    <w:rsid w:val="0037012F"/>
    <w:rsid w:val="00372A84"/>
    <w:rsid w:val="003752F8"/>
    <w:rsid w:val="00381432"/>
    <w:rsid w:val="00381DE7"/>
    <w:rsid w:val="0038379B"/>
    <w:rsid w:val="00384556"/>
    <w:rsid w:val="00386CC5"/>
    <w:rsid w:val="00386FFB"/>
    <w:rsid w:val="003974DA"/>
    <w:rsid w:val="003A0447"/>
    <w:rsid w:val="003B18C6"/>
    <w:rsid w:val="003C033B"/>
    <w:rsid w:val="003C0A43"/>
    <w:rsid w:val="003C277B"/>
    <w:rsid w:val="003C28F1"/>
    <w:rsid w:val="003C33CB"/>
    <w:rsid w:val="003C3CAA"/>
    <w:rsid w:val="003C3D1F"/>
    <w:rsid w:val="003C7FCA"/>
    <w:rsid w:val="003D1467"/>
    <w:rsid w:val="003D4E95"/>
    <w:rsid w:val="003D6202"/>
    <w:rsid w:val="003E3A57"/>
    <w:rsid w:val="003F0A46"/>
    <w:rsid w:val="0040203B"/>
    <w:rsid w:val="00402A88"/>
    <w:rsid w:val="004041C4"/>
    <w:rsid w:val="00405B2A"/>
    <w:rsid w:val="00406964"/>
    <w:rsid w:val="00407AC1"/>
    <w:rsid w:val="004102C9"/>
    <w:rsid w:val="00412087"/>
    <w:rsid w:val="00422E57"/>
    <w:rsid w:val="00423331"/>
    <w:rsid w:val="00423D9B"/>
    <w:rsid w:val="00424765"/>
    <w:rsid w:val="00424964"/>
    <w:rsid w:val="004279C7"/>
    <w:rsid w:val="004327B9"/>
    <w:rsid w:val="0043352A"/>
    <w:rsid w:val="00436775"/>
    <w:rsid w:val="00443A2A"/>
    <w:rsid w:val="0046449A"/>
    <w:rsid w:val="0046652A"/>
    <w:rsid w:val="0047066D"/>
    <w:rsid w:val="00474402"/>
    <w:rsid w:val="00485999"/>
    <w:rsid w:val="00485ED0"/>
    <w:rsid w:val="004A16A6"/>
    <w:rsid w:val="004A1E38"/>
    <w:rsid w:val="004A3E68"/>
    <w:rsid w:val="004A417C"/>
    <w:rsid w:val="004A5A4F"/>
    <w:rsid w:val="004B21DC"/>
    <w:rsid w:val="004B2C68"/>
    <w:rsid w:val="004C5606"/>
    <w:rsid w:val="004C6258"/>
    <w:rsid w:val="004D6D1E"/>
    <w:rsid w:val="004E03A2"/>
    <w:rsid w:val="004E1F6C"/>
    <w:rsid w:val="004E4009"/>
    <w:rsid w:val="004E5759"/>
    <w:rsid w:val="004E683B"/>
    <w:rsid w:val="004E7EBB"/>
    <w:rsid w:val="004F4407"/>
    <w:rsid w:val="004F5943"/>
    <w:rsid w:val="004F6B84"/>
    <w:rsid w:val="0050474A"/>
    <w:rsid w:val="00507D39"/>
    <w:rsid w:val="00510594"/>
    <w:rsid w:val="005136D1"/>
    <w:rsid w:val="00513AE8"/>
    <w:rsid w:val="00515A34"/>
    <w:rsid w:val="00523B6A"/>
    <w:rsid w:val="00526237"/>
    <w:rsid w:val="0053105B"/>
    <w:rsid w:val="00532DEB"/>
    <w:rsid w:val="005453A7"/>
    <w:rsid w:val="005453D4"/>
    <w:rsid w:val="00547161"/>
    <w:rsid w:val="00550948"/>
    <w:rsid w:val="005552D7"/>
    <w:rsid w:val="00562640"/>
    <w:rsid w:val="00563886"/>
    <w:rsid w:val="00564D7A"/>
    <w:rsid w:val="00565622"/>
    <w:rsid w:val="00565ECD"/>
    <w:rsid w:val="0056624A"/>
    <w:rsid w:val="005726D2"/>
    <w:rsid w:val="00572E1C"/>
    <w:rsid w:val="00577356"/>
    <w:rsid w:val="00582898"/>
    <w:rsid w:val="005835AD"/>
    <w:rsid w:val="005843E2"/>
    <w:rsid w:val="00585E1B"/>
    <w:rsid w:val="0059055D"/>
    <w:rsid w:val="0059114D"/>
    <w:rsid w:val="0059159A"/>
    <w:rsid w:val="0059474F"/>
    <w:rsid w:val="00596098"/>
    <w:rsid w:val="00597AC5"/>
    <w:rsid w:val="005A1B3F"/>
    <w:rsid w:val="005A2376"/>
    <w:rsid w:val="005A646A"/>
    <w:rsid w:val="005A7F74"/>
    <w:rsid w:val="005B368E"/>
    <w:rsid w:val="005B6001"/>
    <w:rsid w:val="005C1401"/>
    <w:rsid w:val="005C23E3"/>
    <w:rsid w:val="005C2C58"/>
    <w:rsid w:val="005C49E5"/>
    <w:rsid w:val="005C4FCF"/>
    <w:rsid w:val="005C7C32"/>
    <w:rsid w:val="005D044B"/>
    <w:rsid w:val="005D0A60"/>
    <w:rsid w:val="005D0A6A"/>
    <w:rsid w:val="005D230E"/>
    <w:rsid w:val="005E0EAE"/>
    <w:rsid w:val="005E1047"/>
    <w:rsid w:val="005E380C"/>
    <w:rsid w:val="005E3982"/>
    <w:rsid w:val="005E447D"/>
    <w:rsid w:val="005E77DD"/>
    <w:rsid w:val="005F21C0"/>
    <w:rsid w:val="005F24BE"/>
    <w:rsid w:val="005F6654"/>
    <w:rsid w:val="005F7EE5"/>
    <w:rsid w:val="00604E32"/>
    <w:rsid w:val="00610843"/>
    <w:rsid w:val="0061334F"/>
    <w:rsid w:val="006136AC"/>
    <w:rsid w:val="00614C67"/>
    <w:rsid w:val="00623015"/>
    <w:rsid w:val="006313B6"/>
    <w:rsid w:val="00640591"/>
    <w:rsid w:val="006502E1"/>
    <w:rsid w:val="00652974"/>
    <w:rsid w:val="00653A3B"/>
    <w:rsid w:val="00655A98"/>
    <w:rsid w:val="00656804"/>
    <w:rsid w:val="006569D6"/>
    <w:rsid w:val="00656AE6"/>
    <w:rsid w:val="00665747"/>
    <w:rsid w:val="00665A79"/>
    <w:rsid w:val="00667EEB"/>
    <w:rsid w:val="006713D9"/>
    <w:rsid w:val="00672201"/>
    <w:rsid w:val="00676380"/>
    <w:rsid w:val="00676800"/>
    <w:rsid w:val="00690494"/>
    <w:rsid w:val="00692391"/>
    <w:rsid w:val="006925C7"/>
    <w:rsid w:val="00692A8B"/>
    <w:rsid w:val="0069368B"/>
    <w:rsid w:val="0069374F"/>
    <w:rsid w:val="006938FD"/>
    <w:rsid w:val="00693CB0"/>
    <w:rsid w:val="00696D14"/>
    <w:rsid w:val="006A17C3"/>
    <w:rsid w:val="006A2032"/>
    <w:rsid w:val="006A2BB6"/>
    <w:rsid w:val="006A339F"/>
    <w:rsid w:val="006A4779"/>
    <w:rsid w:val="006A6471"/>
    <w:rsid w:val="006A7443"/>
    <w:rsid w:val="006B1A97"/>
    <w:rsid w:val="006B246A"/>
    <w:rsid w:val="006B4EF3"/>
    <w:rsid w:val="006B6334"/>
    <w:rsid w:val="006B7B76"/>
    <w:rsid w:val="006C070E"/>
    <w:rsid w:val="006C294E"/>
    <w:rsid w:val="006C7924"/>
    <w:rsid w:val="006D2543"/>
    <w:rsid w:val="006D4E50"/>
    <w:rsid w:val="006D6F5F"/>
    <w:rsid w:val="006D6FB4"/>
    <w:rsid w:val="006E23AC"/>
    <w:rsid w:val="006E2910"/>
    <w:rsid w:val="006E5D06"/>
    <w:rsid w:val="006F175D"/>
    <w:rsid w:val="006F1F66"/>
    <w:rsid w:val="006F2B62"/>
    <w:rsid w:val="006F4E71"/>
    <w:rsid w:val="007000AF"/>
    <w:rsid w:val="00700C47"/>
    <w:rsid w:val="00700DFD"/>
    <w:rsid w:val="00703E81"/>
    <w:rsid w:val="007048F5"/>
    <w:rsid w:val="00705A81"/>
    <w:rsid w:val="00722707"/>
    <w:rsid w:val="0073157F"/>
    <w:rsid w:val="00735149"/>
    <w:rsid w:val="00740E26"/>
    <w:rsid w:val="00741C9A"/>
    <w:rsid w:val="00743F24"/>
    <w:rsid w:val="00745924"/>
    <w:rsid w:val="007462C1"/>
    <w:rsid w:val="007516EA"/>
    <w:rsid w:val="00755B41"/>
    <w:rsid w:val="00763891"/>
    <w:rsid w:val="00764625"/>
    <w:rsid w:val="00765229"/>
    <w:rsid w:val="007656C4"/>
    <w:rsid w:val="00770308"/>
    <w:rsid w:val="00772376"/>
    <w:rsid w:val="00780A13"/>
    <w:rsid w:val="00787554"/>
    <w:rsid w:val="007921DF"/>
    <w:rsid w:val="00795B37"/>
    <w:rsid w:val="0079733E"/>
    <w:rsid w:val="007A4BD5"/>
    <w:rsid w:val="007A7826"/>
    <w:rsid w:val="007B0409"/>
    <w:rsid w:val="007B55FC"/>
    <w:rsid w:val="007C062E"/>
    <w:rsid w:val="007C2C07"/>
    <w:rsid w:val="007C53DD"/>
    <w:rsid w:val="007C57D7"/>
    <w:rsid w:val="007E3E8D"/>
    <w:rsid w:val="007E501E"/>
    <w:rsid w:val="007E509C"/>
    <w:rsid w:val="007F2CA0"/>
    <w:rsid w:val="007F799F"/>
    <w:rsid w:val="00801EEE"/>
    <w:rsid w:val="00802159"/>
    <w:rsid w:val="00802AA2"/>
    <w:rsid w:val="008066A4"/>
    <w:rsid w:val="008133FB"/>
    <w:rsid w:val="00817557"/>
    <w:rsid w:val="00827216"/>
    <w:rsid w:val="00832AC4"/>
    <w:rsid w:val="00834664"/>
    <w:rsid w:val="00843639"/>
    <w:rsid w:val="008501D1"/>
    <w:rsid w:val="00855428"/>
    <w:rsid w:val="00855B78"/>
    <w:rsid w:val="00856B59"/>
    <w:rsid w:val="008628ED"/>
    <w:rsid w:val="00866A3B"/>
    <w:rsid w:val="00866A69"/>
    <w:rsid w:val="00872BCC"/>
    <w:rsid w:val="00874BAD"/>
    <w:rsid w:val="00880453"/>
    <w:rsid w:val="008849A4"/>
    <w:rsid w:val="00887E84"/>
    <w:rsid w:val="00897721"/>
    <w:rsid w:val="00897FD9"/>
    <w:rsid w:val="008A72EF"/>
    <w:rsid w:val="008A7A1E"/>
    <w:rsid w:val="008B6796"/>
    <w:rsid w:val="008B6C12"/>
    <w:rsid w:val="008C2EE7"/>
    <w:rsid w:val="008C32AD"/>
    <w:rsid w:val="008D23CA"/>
    <w:rsid w:val="008D4DD8"/>
    <w:rsid w:val="008D6431"/>
    <w:rsid w:val="008E49C5"/>
    <w:rsid w:val="008E5D16"/>
    <w:rsid w:val="008E6265"/>
    <w:rsid w:val="008F02A4"/>
    <w:rsid w:val="00900379"/>
    <w:rsid w:val="00904FBA"/>
    <w:rsid w:val="00905E53"/>
    <w:rsid w:val="00911915"/>
    <w:rsid w:val="00912B83"/>
    <w:rsid w:val="00926B54"/>
    <w:rsid w:val="0092781D"/>
    <w:rsid w:val="00927ACF"/>
    <w:rsid w:val="00927DA2"/>
    <w:rsid w:val="00930B49"/>
    <w:rsid w:val="0093103F"/>
    <w:rsid w:val="0093116E"/>
    <w:rsid w:val="00936522"/>
    <w:rsid w:val="0094131F"/>
    <w:rsid w:val="009448A4"/>
    <w:rsid w:val="00946D60"/>
    <w:rsid w:val="009475E6"/>
    <w:rsid w:val="009476B5"/>
    <w:rsid w:val="00951E49"/>
    <w:rsid w:val="00953C3A"/>
    <w:rsid w:val="009546CA"/>
    <w:rsid w:val="00955BD7"/>
    <w:rsid w:val="00957655"/>
    <w:rsid w:val="00957F4F"/>
    <w:rsid w:val="009623E0"/>
    <w:rsid w:val="00964903"/>
    <w:rsid w:val="0096626B"/>
    <w:rsid w:val="009709E5"/>
    <w:rsid w:val="00974394"/>
    <w:rsid w:val="009749C5"/>
    <w:rsid w:val="00986654"/>
    <w:rsid w:val="00995BDD"/>
    <w:rsid w:val="0099655B"/>
    <w:rsid w:val="009A0EC9"/>
    <w:rsid w:val="009A500B"/>
    <w:rsid w:val="009A6372"/>
    <w:rsid w:val="009B1594"/>
    <w:rsid w:val="009B22D4"/>
    <w:rsid w:val="009C2564"/>
    <w:rsid w:val="009D27D6"/>
    <w:rsid w:val="009E043E"/>
    <w:rsid w:val="009E059D"/>
    <w:rsid w:val="009E19AF"/>
    <w:rsid w:val="009E5DBF"/>
    <w:rsid w:val="009E5FB7"/>
    <w:rsid w:val="009F06B5"/>
    <w:rsid w:val="009F2CD4"/>
    <w:rsid w:val="009F5486"/>
    <w:rsid w:val="009F7190"/>
    <w:rsid w:val="009F786F"/>
    <w:rsid w:val="00A011D6"/>
    <w:rsid w:val="00A018E5"/>
    <w:rsid w:val="00A03D3B"/>
    <w:rsid w:val="00A051AD"/>
    <w:rsid w:val="00A11B1E"/>
    <w:rsid w:val="00A200F0"/>
    <w:rsid w:val="00A23691"/>
    <w:rsid w:val="00A23D48"/>
    <w:rsid w:val="00A249D9"/>
    <w:rsid w:val="00A25E97"/>
    <w:rsid w:val="00A3530F"/>
    <w:rsid w:val="00A4211F"/>
    <w:rsid w:val="00A449E8"/>
    <w:rsid w:val="00A52A83"/>
    <w:rsid w:val="00A6262E"/>
    <w:rsid w:val="00A62A41"/>
    <w:rsid w:val="00A6678C"/>
    <w:rsid w:val="00A66B95"/>
    <w:rsid w:val="00A723D1"/>
    <w:rsid w:val="00A73DF4"/>
    <w:rsid w:val="00A76353"/>
    <w:rsid w:val="00AA1091"/>
    <w:rsid w:val="00AA1793"/>
    <w:rsid w:val="00AA2609"/>
    <w:rsid w:val="00AB0309"/>
    <w:rsid w:val="00AB741E"/>
    <w:rsid w:val="00AC3CE2"/>
    <w:rsid w:val="00AC5735"/>
    <w:rsid w:val="00AC6D30"/>
    <w:rsid w:val="00AD2C29"/>
    <w:rsid w:val="00AD755F"/>
    <w:rsid w:val="00AE17CE"/>
    <w:rsid w:val="00AE2D24"/>
    <w:rsid w:val="00AE423D"/>
    <w:rsid w:val="00AE73BA"/>
    <w:rsid w:val="00AF3504"/>
    <w:rsid w:val="00B07799"/>
    <w:rsid w:val="00B07A64"/>
    <w:rsid w:val="00B10E6C"/>
    <w:rsid w:val="00B12C88"/>
    <w:rsid w:val="00B1314D"/>
    <w:rsid w:val="00B13366"/>
    <w:rsid w:val="00B207B1"/>
    <w:rsid w:val="00B20FC6"/>
    <w:rsid w:val="00B2124E"/>
    <w:rsid w:val="00B30E77"/>
    <w:rsid w:val="00B35444"/>
    <w:rsid w:val="00B474CC"/>
    <w:rsid w:val="00B519BD"/>
    <w:rsid w:val="00B522D2"/>
    <w:rsid w:val="00B53072"/>
    <w:rsid w:val="00B553EE"/>
    <w:rsid w:val="00B55770"/>
    <w:rsid w:val="00B63D98"/>
    <w:rsid w:val="00B6424A"/>
    <w:rsid w:val="00B65F20"/>
    <w:rsid w:val="00B70362"/>
    <w:rsid w:val="00B70CF9"/>
    <w:rsid w:val="00B72423"/>
    <w:rsid w:val="00B73DE0"/>
    <w:rsid w:val="00B81A2A"/>
    <w:rsid w:val="00B92D31"/>
    <w:rsid w:val="00B97330"/>
    <w:rsid w:val="00B97B9F"/>
    <w:rsid w:val="00BA6835"/>
    <w:rsid w:val="00BB0B51"/>
    <w:rsid w:val="00BB4716"/>
    <w:rsid w:val="00BB49C0"/>
    <w:rsid w:val="00BB6418"/>
    <w:rsid w:val="00BC0537"/>
    <w:rsid w:val="00BC0A87"/>
    <w:rsid w:val="00BC3249"/>
    <w:rsid w:val="00BC33F7"/>
    <w:rsid w:val="00BC3808"/>
    <w:rsid w:val="00BC3A1D"/>
    <w:rsid w:val="00BC7977"/>
    <w:rsid w:val="00BD2C8E"/>
    <w:rsid w:val="00BD30A0"/>
    <w:rsid w:val="00BD46D3"/>
    <w:rsid w:val="00BD59F6"/>
    <w:rsid w:val="00BD5BBA"/>
    <w:rsid w:val="00BD5CBB"/>
    <w:rsid w:val="00BD7096"/>
    <w:rsid w:val="00BE12DA"/>
    <w:rsid w:val="00BE1674"/>
    <w:rsid w:val="00BE1693"/>
    <w:rsid w:val="00BE2FEC"/>
    <w:rsid w:val="00BE3E6A"/>
    <w:rsid w:val="00BE40DE"/>
    <w:rsid w:val="00BE543E"/>
    <w:rsid w:val="00BF2858"/>
    <w:rsid w:val="00BF4565"/>
    <w:rsid w:val="00C03C0C"/>
    <w:rsid w:val="00C05E06"/>
    <w:rsid w:val="00C24038"/>
    <w:rsid w:val="00C24F36"/>
    <w:rsid w:val="00C25BC9"/>
    <w:rsid w:val="00C31CB4"/>
    <w:rsid w:val="00C32ABA"/>
    <w:rsid w:val="00C32CBB"/>
    <w:rsid w:val="00C34785"/>
    <w:rsid w:val="00C34A4D"/>
    <w:rsid w:val="00C40550"/>
    <w:rsid w:val="00C41017"/>
    <w:rsid w:val="00C438F1"/>
    <w:rsid w:val="00C44B7E"/>
    <w:rsid w:val="00C463F1"/>
    <w:rsid w:val="00C52119"/>
    <w:rsid w:val="00C564C2"/>
    <w:rsid w:val="00C62AE6"/>
    <w:rsid w:val="00C64373"/>
    <w:rsid w:val="00C666E2"/>
    <w:rsid w:val="00C675BF"/>
    <w:rsid w:val="00C73B08"/>
    <w:rsid w:val="00C74DAA"/>
    <w:rsid w:val="00C7510B"/>
    <w:rsid w:val="00C82813"/>
    <w:rsid w:val="00C82DE6"/>
    <w:rsid w:val="00C905E4"/>
    <w:rsid w:val="00C939F7"/>
    <w:rsid w:val="00C96845"/>
    <w:rsid w:val="00C97EED"/>
    <w:rsid w:val="00CA1F6E"/>
    <w:rsid w:val="00CA3550"/>
    <w:rsid w:val="00CA383B"/>
    <w:rsid w:val="00CB6E33"/>
    <w:rsid w:val="00CC0490"/>
    <w:rsid w:val="00CC3B85"/>
    <w:rsid w:val="00CC4DD9"/>
    <w:rsid w:val="00CD386D"/>
    <w:rsid w:val="00CD4847"/>
    <w:rsid w:val="00CD4AD2"/>
    <w:rsid w:val="00CD5626"/>
    <w:rsid w:val="00CE407D"/>
    <w:rsid w:val="00CE6F23"/>
    <w:rsid w:val="00CE70D8"/>
    <w:rsid w:val="00CE7483"/>
    <w:rsid w:val="00CF6106"/>
    <w:rsid w:val="00D050B3"/>
    <w:rsid w:val="00D10065"/>
    <w:rsid w:val="00D102DB"/>
    <w:rsid w:val="00D203DB"/>
    <w:rsid w:val="00D2072D"/>
    <w:rsid w:val="00D211C9"/>
    <w:rsid w:val="00D32A8E"/>
    <w:rsid w:val="00D34B7D"/>
    <w:rsid w:val="00D35943"/>
    <w:rsid w:val="00D35D58"/>
    <w:rsid w:val="00D37DA4"/>
    <w:rsid w:val="00D41F25"/>
    <w:rsid w:val="00D4488F"/>
    <w:rsid w:val="00D44988"/>
    <w:rsid w:val="00D46B68"/>
    <w:rsid w:val="00D50384"/>
    <w:rsid w:val="00D51DB2"/>
    <w:rsid w:val="00D52549"/>
    <w:rsid w:val="00D530F5"/>
    <w:rsid w:val="00D57D73"/>
    <w:rsid w:val="00D602F3"/>
    <w:rsid w:val="00D608DE"/>
    <w:rsid w:val="00D631CF"/>
    <w:rsid w:val="00D64229"/>
    <w:rsid w:val="00D64E25"/>
    <w:rsid w:val="00D67FD1"/>
    <w:rsid w:val="00D706FA"/>
    <w:rsid w:val="00D72ED4"/>
    <w:rsid w:val="00D7365C"/>
    <w:rsid w:val="00D7373D"/>
    <w:rsid w:val="00D778F4"/>
    <w:rsid w:val="00D822E3"/>
    <w:rsid w:val="00D9365F"/>
    <w:rsid w:val="00DA54FE"/>
    <w:rsid w:val="00DA57DD"/>
    <w:rsid w:val="00DA73A7"/>
    <w:rsid w:val="00DB0265"/>
    <w:rsid w:val="00DB081D"/>
    <w:rsid w:val="00DB21B1"/>
    <w:rsid w:val="00DB2BB9"/>
    <w:rsid w:val="00DB3DC2"/>
    <w:rsid w:val="00DB59ED"/>
    <w:rsid w:val="00DB6073"/>
    <w:rsid w:val="00DB7F94"/>
    <w:rsid w:val="00DC0EE0"/>
    <w:rsid w:val="00DC2B0B"/>
    <w:rsid w:val="00DC6FF7"/>
    <w:rsid w:val="00DC7E33"/>
    <w:rsid w:val="00DD3800"/>
    <w:rsid w:val="00DD4BC8"/>
    <w:rsid w:val="00DD4E9B"/>
    <w:rsid w:val="00DD6833"/>
    <w:rsid w:val="00DD6FE2"/>
    <w:rsid w:val="00DE427D"/>
    <w:rsid w:val="00DE5518"/>
    <w:rsid w:val="00DF036E"/>
    <w:rsid w:val="00E00224"/>
    <w:rsid w:val="00E018DF"/>
    <w:rsid w:val="00E034D0"/>
    <w:rsid w:val="00E03BEA"/>
    <w:rsid w:val="00E045BF"/>
    <w:rsid w:val="00E05319"/>
    <w:rsid w:val="00E10027"/>
    <w:rsid w:val="00E12639"/>
    <w:rsid w:val="00E16F20"/>
    <w:rsid w:val="00E208AF"/>
    <w:rsid w:val="00E26E67"/>
    <w:rsid w:val="00E278AD"/>
    <w:rsid w:val="00E3365A"/>
    <w:rsid w:val="00E339B6"/>
    <w:rsid w:val="00E34C84"/>
    <w:rsid w:val="00E35718"/>
    <w:rsid w:val="00E44D5B"/>
    <w:rsid w:val="00E513AF"/>
    <w:rsid w:val="00E60EF5"/>
    <w:rsid w:val="00E62227"/>
    <w:rsid w:val="00E632F6"/>
    <w:rsid w:val="00E6604D"/>
    <w:rsid w:val="00E71852"/>
    <w:rsid w:val="00E827CD"/>
    <w:rsid w:val="00E87A41"/>
    <w:rsid w:val="00E90F4D"/>
    <w:rsid w:val="00E92334"/>
    <w:rsid w:val="00E92F05"/>
    <w:rsid w:val="00E94C2B"/>
    <w:rsid w:val="00E95952"/>
    <w:rsid w:val="00E96797"/>
    <w:rsid w:val="00EA45D8"/>
    <w:rsid w:val="00EA530F"/>
    <w:rsid w:val="00EB0B85"/>
    <w:rsid w:val="00EB33D5"/>
    <w:rsid w:val="00EC2065"/>
    <w:rsid w:val="00EC4581"/>
    <w:rsid w:val="00EC5D86"/>
    <w:rsid w:val="00ED34DE"/>
    <w:rsid w:val="00EE7945"/>
    <w:rsid w:val="00EF27CF"/>
    <w:rsid w:val="00EF5694"/>
    <w:rsid w:val="00F0063F"/>
    <w:rsid w:val="00F025C8"/>
    <w:rsid w:val="00F1040A"/>
    <w:rsid w:val="00F12DD3"/>
    <w:rsid w:val="00F17D96"/>
    <w:rsid w:val="00F2304C"/>
    <w:rsid w:val="00F2529C"/>
    <w:rsid w:val="00F359D2"/>
    <w:rsid w:val="00F4236C"/>
    <w:rsid w:val="00F46FF5"/>
    <w:rsid w:val="00F51CF0"/>
    <w:rsid w:val="00F53001"/>
    <w:rsid w:val="00F54D73"/>
    <w:rsid w:val="00F57D30"/>
    <w:rsid w:val="00F6184E"/>
    <w:rsid w:val="00F66BC7"/>
    <w:rsid w:val="00F71FF5"/>
    <w:rsid w:val="00F84AEA"/>
    <w:rsid w:val="00F85EA7"/>
    <w:rsid w:val="00F86485"/>
    <w:rsid w:val="00F86D8F"/>
    <w:rsid w:val="00F8730E"/>
    <w:rsid w:val="00F90041"/>
    <w:rsid w:val="00F91D49"/>
    <w:rsid w:val="00F92B63"/>
    <w:rsid w:val="00F95A0B"/>
    <w:rsid w:val="00FA2A91"/>
    <w:rsid w:val="00FA527F"/>
    <w:rsid w:val="00FC17F5"/>
    <w:rsid w:val="00FC730A"/>
    <w:rsid w:val="00FD4016"/>
    <w:rsid w:val="00FD5764"/>
    <w:rsid w:val="00FE178B"/>
    <w:rsid w:val="00FE441A"/>
    <w:rsid w:val="00FE5639"/>
    <w:rsid w:val="00FF36BA"/>
    <w:rsid w:val="00FF41EA"/>
    <w:rsid w:val="00FF500A"/>
    <w:rsid w:val="00FF63C8"/>
    <w:rsid w:val="00FF76C3"/>
    <w:rsid w:val="00FF7811"/>
  </w:rsids>
  <w:themeFontLang w:val="en-GB"/>
  <w:clrSchemeMapping w:accent1="accent1" w:accent2="accent2" w:accent3="accent3" w:accent4="accent4" w:accent5="accent5" w:accent6="accent6" w:bg1="light1" w:bg2="light2" w:followedHyperlink="followedHyperlink" w:hyperlink="hyperlink" w:t1="dark1" w:t2="dark2"/>
  <w:doNotIncludeSubdocsInStats/>
  <w:shapeDefaults>
    <o:shapedefaults fillcolor="white" spidmax="2050" v:ext="edit">
      <v:fill color="white"/>
      <v:stroke weight=".25pt"/>
    </o:shapedefaults>
    <o:shapelayout v:ext="edit">
      <o:idmap data="2" v:ext="edit"/>
    </o:shapelayout>
  </w:shapeDefaults>
  <w:decimalSymbol w:val=","/>
  <w:listSeparator w:val=";"/>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http://schemas.microsoft.com/office/word/2018/wordml" xmlns:w16cex="http://schemas.microsoft.com/office/word/2018/wordml/cex" xmlns:w16cid="http://schemas.microsoft.com/office/word/2016/wordml/cid"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Times New Roman" w:cs="Times New Roman" w:eastAsia="Times New Roman" w:hAnsi="Times New Roman"/>
        <w:lang w:bidi="ar-SA" w:eastAsia="en-GB" w:val="en-GB"/>
      </w:rPr>
    </w:rPrDefault>
    <w:pPrDefault/>
  </w:docDefaults>
  <w:latentStyles w:count="376" w:defLockedState="0" w:defQFormat="0" w:defSemiHidden="0" w:defUIPriority="0" w:defUnhideWhenUsed="0">
    <w:lsdException w:name="Normal" w:qFormat="1"/>
    <w:lsdException w:name="heading 1" w:qFormat="1"/>
    <w:lsdException w:name="heading 2" w:qFormat="1"/>
    <w:lsdException w:name="heading 3" w:qFormat="1"/>
    <w:lsdException w:name="heading 4" w:qFormat="1"/>
    <w:lsdException w:name="heading 5" w:qFormat="1"/>
    <w:lsdException w:name="heading 6" w:qFormat="1"/>
    <w:lsdException w:name="heading 7" w:qFormat="1"/>
    <w:lsdException w:name="heading 8" w:qFormat="1"/>
    <w:lsdException w:name="heading 9" w:qFormat="1"/>
    <w:lsdException w:name="toc 1" w:uiPriority="39"/>
    <w:lsdException w:name="toc 2" w:uiPriority="39"/>
    <w:lsdException w:name="toc 3" w:uiPriority="39"/>
    <w:lsdException w:name="toc 4" w:uiPriority="39"/>
    <w:lsdException w:name="toc 5" w:uiPriority="39"/>
    <w:lsdException w:name="toc 8" w:uiPriority="39"/>
    <w:lsdException w:name="caption" w:qFormat="1"/>
    <w:lsdException w:name="Title" w:qFormat="1"/>
    <w:lsdException w:name="Default Paragraph Font" w:uiPriority="1"/>
    <w:lsdException w:name="Subtitle" w:qFormat="1"/>
    <w:lsdException w:name="Strong" w:qFormat="1"/>
    <w:lsdException w:name="Emphasis" w:qFormat="1"/>
    <w:lsdException w:name="Normal (Web)" w:uiPriority="99"/>
    <w:lsdException w:name="HTML Preformatted" w:semiHidden="1" w:unhideWhenUsed="1"/>
    <w:lsdException w:name="HTML Typewriter" w:semiHidden="1" w:unhideWhenUsed="1"/>
    <w:lsdException w:name="Normal Table" w:semiHidden="1" w:unhideWhenUsed="1"/>
    <w:lsdException w:name="No List" w:semiHidden="1" w:uiPriority="99"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Theme" w:semiHidden="1" w:unhideWhenUsed="1"/>
    <w:lsdException w:name="Placeholder Text" w:semiHidden="1" w:uiPriority="99"/>
    <w:lsdException w:name="No Spacing" w:qFormat="1" w:uiPriority="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qFormat="1" w:uiPriority="34"/>
    <w:lsdException w:name="Quote" w:qFormat="1" w:uiPriority="29"/>
    <w:lsdException w:name="Intense Quote" w:qFormat="1" w:uiPriority="30"/>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qFormat="1" w:uiPriority="19"/>
    <w:lsdException w:name="Intense Emphasis" w:qFormat="1" w:uiPriority="21"/>
    <w:lsdException w:name="Subtle Reference" w:qFormat="1" w:uiPriority="31"/>
    <w:lsdException w:name="Intense Reference" w:qFormat="1" w:uiPriority="32"/>
    <w:lsdException w:name="Book Title" w:qFormat="1" w:uiPriority="33"/>
    <w:lsdException w:name="Bibliography" w:semiHidden="1" w:uiPriority="37" w:unhideWhenUsed="1"/>
    <w:lsdException w:name="TOC Heading" w:qFormat="1" w:semiHidden="1" w:uiPriority="39" w:unhideWhenUsed="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iPriority="99" w:unhideWhenUsed="1"/>
    <w:lsdException w:name="Smart Hyperlink" w:semiHidden="1" w:uiPriority="99" w:unhideWhenUsed="1"/>
    <w:lsdException w:name="Hashtag" w:semiHidden="1" w:uiPriority="99" w:unhideWhenUsed="1"/>
    <w:lsdException w:name="Unresolved Mention" w:semiHidden="1" w:uiPriority="99" w:unhideWhenUsed="1"/>
    <w:lsdException w:name="Smart Link" w:semiHidden="1" w:uiPriority="99" w:unhideWhenUsed="1"/>
  </w:latentStyles>
  <w:style w:default="1" w:styleId="Normal" w:type="paragraph">
    <w:name w:val="Normal"/>
    <w:qFormat/>
    <w:rsid w:val="00E35718"/>
    <w:pPr>
      <w:overflowPunct w:val="0"/>
      <w:autoSpaceDE w:val="0"/>
      <w:autoSpaceDN w:val="0"/>
      <w:adjustRightInd w:val="0"/>
      <w:spacing w:after="180"/>
      <w:textAlignment w:val="baseline"/>
    </w:pPr>
    <w:rPr>
      <w:lang w:eastAsia="en-US"/>
    </w:rPr>
  </w:style>
  <w:style w:styleId="Heading1" w:type="paragraph">
    <w:name w:val="heading 1"/>
    <w:next w:val="Normal"/>
    <w:link w:val="Heading1Char"/>
    <w:qFormat/>
    <w:rsid w:val="00407AC1"/>
    <w:pPr>
      <w:keepNext/>
      <w:keepLines/>
      <w:pageBreakBefore/>
      <w:pBdr>
        <w:top w:color="auto" w:space="3" w:sz="12" w:val="single"/>
      </w:pBdr>
      <w:overflowPunct w:val="0"/>
      <w:autoSpaceDE w:val="0"/>
      <w:autoSpaceDN w:val="0"/>
      <w:adjustRightInd w:val="0"/>
      <w:spacing w:after="180" w:before="240"/>
      <w:textAlignment w:val="baseline"/>
      <w:outlineLvl w:val="0"/>
    </w:pPr>
    <w:rPr>
      <w:rFonts w:ascii="Arial" w:hAnsi="Arial"/>
      <w:sz w:val="36"/>
      <w:lang w:eastAsia="en-US"/>
    </w:rPr>
  </w:style>
  <w:style w:styleId="Heading2" w:type="paragraph">
    <w:name w:val="heading 2"/>
    <w:basedOn w:val="Heading1"/>
    <w:next w:val="Normal"/>
    <w:link w:val="Heading2Char"/>
    <w:qFormat/>
    <w:rsid w:val="00407AC1"/>
    <w:pPr>
      <w:pageBreakBefore w:val="0"/>
      <w:numPr>
        <w:ilvl w:val="1"/>
      </w:numPr>
      <w:pBdr>
        <w:top w:color="auto" w:space="0" w:sz="0" w:val="none"/>
      </w:pBdr>
      <w:spacing w:before="180"/>
      <w:outlineLvl w:val="1"/>
    </w:pPr>
    <w:rPr>
      <w:sz w:val="32"/>
    </w:rPr>
  </w:style>
  <w:style w:styleId="Heading3" w:type="paragraph">
    <w:name w:val="heading 3"/>
    <w:basedOn w:val="Heading2"/>
    <w:next w:val="Normal"/>
    <w:link w:val="Heading3Char"/>
    <w:qFormat/>
    <w:rsid w:val="00802AA2"/>
    <w:pPr>
      <w:numPr>
        <w:ilvl w:val="2"/>
      </w:numPr>
      <w:spacing w:before="120"/>
      <w:outlineLvl w:val="2"/>
    </w:pPr>
    <w:rPr>
      <w:sz w:val="28"/>
    </w:rPr>
  </w:style>
  <w:style w:styleId="Heading4" w:type="paragraph">
    <w:name w:val="heading 4"/>
    <w:basedOn w:val="Heading3"/>
    <w:next w:val="Normal"/>
    <w:qFormat/>
    <w:rsid w:val="00802AA2"/>
    <w:pPr>
      <w:numPr>
        <w:ilvl w:val="3"/>
      </w:numPr>
      <w:outlineLvl w:val="3"/>
    </w:pPr>
    <w:rPr>
      <w:sz w:val="24"/>
    </w:rPr>
  </w:style>
  <w:style w:styleId="Heading5" w:type="paragraph">
    <w:name w:val="heading 5"/>
    <w:basedOn w:val="Heading4"/>
    <w:next w:val="Normal"/>
    <w:qFormat/>
    <w:rsid w:val="00802AA2"/>
    <w:pPr>
      <w:numPr>
        <w:ilvl w:val="4"/>
      </w:numPr>
      <w:outlineLvl w:val="4"/>
    </w:pPr>
    <w:rPr>
      <w:sz w:val="22"/>
    </w:rPr>
  </w:style>
  <w:style w:styleId="Heading6" w:type="paragraph">
    <w:name w:val="heading 6"/>
    <w:basedOn w:val="H6"/>
    <w:next w:val="Normal"/>
    <w:qFormat/>
    <w:rsid w:val="00802AA2"/>
    <w:pPr>
      <w:numPr>
        <w:ilvl w:val="5"/>
      </w:numPr>
      <w:ind w:hanging="1985" w:left="1985"/>
      <w:outlineLvl w:val="5"/>
    </w:pPr>
  </w:style>
  <w:style w:styleId="Heading7" w:type="paragraph">
    <w:name w:val="heading 7"/>
    <w:basedOn w:val="H6"/>
    <w:next w:val="Normal"/>
    <w:qFormat/>
    <w:rsid w:val="00802AA2"/>
    <w:pPr>
      <w:numPr>
        <w:ilvl w:val="6"/>
      </w:numPr>
      <w:ind w:hanging="1985" w:left="1985"/>
      <w:outlineLvl w:val="6"/>
    </w:pPr>
  </w:style>
  <w:style w:styleId="Heading8" w:type="paragraph">
    <w:name w:val="heading 8"/>
    <w:basedOn w:val="Heading1"/>
    <w:next w:val="Normal"/>
    <w:qFormat/>
    <w:rsid w:val="00802AA2"/>
    <w:pPr>
      <w:numPr>
        <w:ilvl w:val="7"/>
      </w:numPr>
      <w:outlineLvl w:val="7"/>
    </w:pPr>
  </w:style>
  <w:style w:styleId="Heading9" w:type="paragraph">
    <w:name w:val="heading 9"/>
    <w:basedOn w:val="Heading8"/>
    <w:next w:val="Normal"/>
    <w:qFormat/>
    <w:rsid w:val="00802AA2"/>
    <w:pPr>
      <w:numPr>
        <w:ilvl w:val="8"/>
      </w:numPr>
      <w:outlineLvl w:val="8"/>
    </w:pPr>
  </w:style>
  <w:style w:default="1" w:styleId="DefaultParagraphFont" w:type="character">
    <w:name w:val="Default Paragraph Font"/>
    <w:uiPriority w:val="1"/>
    <w:semiHidden/>
    <w:unhideWhenUsed/>
  </w:style>
  <w:style w:default="1" w:styleId="TableNormal" w:type="table">
    <w:name w:val="Normal Table"/>
    <w:uiPriority w:val="99"/>
    <w:semiHidden/>
    <w:unhideWhenUsed/>
    <w:tblPr>
      <w:tblInd w:type="dxa" w:w="0"/>
      <w:tblCellMar>
        <w:top w:type="dxa" w:w="0"/>
        <w:left w:type="dxa" w:w="108"/>
        <w:bottom w:type="dxa" w:w="0"/>
        <w:right w:type="dxa" w:w="108"/>
      </w:tblCellMar>
    </w:tblPr>
  </w:style>
  <w:style w:default="1" w:styleId="NoList" w:type="numbering">
    <w:name w:val="No List"/>
    <w:uiPriority w:val="99"/>
    <w:semiHidden/>
    <w:unhideWhenUsed/>
  </w:style>
  <w:style w:customStyle="1" w:styleId="Heading1Char" w:type="character">
    <w:name w:val="Heading 1 Char"/>
    <w:link w:val="Heading1"/>
    <w:rsid w:val="00407AC1"/>
    <w:rPr>
      <w:rFonts w:ascii="Arial" w:hAnsi="Arial"/>
      <w:sz w:val="36"/>
      <w:lang w:eastAsia="en-US"/>
    </w:rPr>
  </w:style>
  <w:style w:customStyle="1" w:styleId="Heading2Char" w:type="character">
    <w:name w:val="Heading 2 Char"/>
    <w:link w:val="Heading2"/>
    <w:rsid w:val="00407AC1"/>
    <w:rPr>
      <w:rFonts w:ascii="Arial" w:hAnsi="Arial"/>
      <w:sz w:val="32"/>
      <w:lang w:eastAsia="en-US"/>
    </w:rPr>
  </w:style>
  <w:style w:customStyle="1" w:styleId="Heading3Char" w:type="character">
    <w:name w:val="Heading 3 Char"/>
    <w:link w:val="Heading3"/>
    <w:rsid w:val="00DC7E33"/>
    <w:rPr>
      <w:rFonts w:ascii="Arial" w:hAnsi="Arial"/>
      <w:sz w:val="28"/>
      <w:lang w:eastAsia="en-US"/>
    </w:rPr>
  </w:style>
  <w:style w:customStyle="1" w:styleId="H6" w:type="paragraph">
    <w:name w:val="H6"/>
    <w:basedOn w:val="Heading5"/>
    <w:next w:val="Normal"/>
    <w:rsid w:val="00802AA2"/>
    <w:pPr>
      <w:ind w:hanging="1985" w:left="1985"/>
      <w:outlineLvl w:val="9"/>
    </w:pPr>
    <w:rPr>
      <w:sz w:val="20"/>
    </w:rPr>
  </w:style>
  <w:style w:styleId="TOC9" w:type="paragraph">
    <w:name w:val="toc 9"/>
    <w:basedOn w:val="TOC8"/>
    <w:rsid w:val="00802AA2"/>
    <w:pPr>
      <w:ind w:hanging="1418" w:left="1418"/>
    </w:pPr>
  </w:style>
  <w:style w:styleId="TOC8" w:type="paragraph">
    <w:name w:val="toc 8"/>
    <w:basedOn w:val="TOC1"/>
    <w:uiPriority w:val="39"/>
    <w:rsid w:val="00802AA2"/>
    <w:pPr>
      <w:spacing w:before="180"/>
      <w:ind w:hanging="2693" w:left="2693"/>
    </w:pPr>
    <w:rPr>
      <w:b/>
    </w:rPr>
  </w:style>
  <w:style w:styleId="TOC1" w:type="paragraph">
    <w:name w:val="toc 1"/>
    <w:uiPriority w:val="39"/>
    <w:rsid w:val="00802AA2"/>
    <w:pPr>
      <w:keepLines/>
      <w:widowControl w:val="0"/>
      <w:tabs>
        <w:tab w:leader="dot" w:pos="9639" w:val="right"/>
      </w:tabs>
      <w:overflowPunct w:val="0"/>
      <w:autoSpaceDE w:val="0"/>
      <w:autoSpaceDN w:val="0"/>
      <w:adjustRightInd w:val="0"/>
      <w:spacing w:before="120"/>
      <w:ind w:hanging="567" w:left="567" w:right="425"/>
      <w:textAlignment w:val="baseline"/>
    </w:pPr>
    <w:rPr>
      <w:noProof/>
      <w:sz w:val="22"/>
      <w:lang w:eastAsia="en-US"/>
    </w:rPr>
  </w:style>
  <w:style w:customStyle="1" w:styleId="EQ" w:type="paragraph">
    <w:name w:val="EQ"/>
    <w:basedOn w:val="Normal"/>
    <w:next w:val="Normal"/>
    <w:rsid w:val="00802AA2"/>
    <w:pPr>
      <w:keepLines/>
      <w:tabs>
        <w:tab w:pos="4536" w:val="center"/>
        <w:tab w:pos="9072" w:val="right"/>
      </w:tabs>
    </w:pPr>
    <w:rPr>
      <w:noProof/>
    </w:rPr>
  </w:style>
  <w:style w:customStyle="1" w:styleId="ZGSM" w:type="character">
    <w:name w:val="ZGSM"/>
    <w:rsid w:val="00802AA2"/>
  </w:style>
  <w:style w:styleId="Header" w:type="paragraph">
    <w:name w:val="header"/>
    <w:rsid w:val="00802AA2"/>
    <w:pPr>
      <w:widowControl w:val="0"/>
      <w:overflowPunct w:val="0"/>
      <w:autoSpaceDE w:val="0"/>
      <w:autoSpaceDN w:val="0"/>
      <w:adjustRightInd w:val="0"/>
      <w:textAlignment w:val="baseline"/>
    </w:pPr>
    <w:rPr>
      <w:rFonts w:ascii="Arial" w:hAnsi="Arial"/>
      <w:b/>
      <w:noProof/>
      <w:sz w:val="18"/>
      <w:lang w:eastAsia="en-US"/>
    </w:rPr>
  </w:style>
  <w:style w:customStyle="1" w:styleId="ZD" w:type="paragraph">
    <w:name w:val="ZD"/>
    <w:rsid w:val="00802AA2"/>
    <w:pPr>
      <w:framePr w:hAnchor="margin" w:vAnchor="page" w:wrap="notBeside" w:y="15764"/>
      <w:widowControl w:val="0"/>
      <w:overflowPunct w:val="0"/>
      <w:autoSpaceDE w:val="0"/>
      <w:autoSpaceDN w:val="0"/>
      <w:adjustRightInd w:val="0"/>
      <w:textAlignment w:val="baseline"/>
    </w:pPr>
    <w:rPr>
      <w:rFonts w:ascii="Arial" w:hAnsi="Arial"/>
      <w:noProof/>
      <w:sz w:val="32"/>
      <w:lang w:eastAsia="en-US"/>
    </w:rPr>
  </w:style>
  <w:style w:styleId="TOC5" w:type="paragraph">
    <w:name w:val="toc 5"/>
    <w:basedOn w:val="TOC4"/>
    <w:uiPriority w:val="39"/>
    <w:rsid w:val="00802AA2"/>
    <w:pPr>
      <w:ind w:hanging="1701" w:left="1701"/>
    </w:pPr>
  </w:style>
  <w:style w:styleId="TOC4" w:type="paragraph">
    <w:name w:val="toc 4"/>
    <w:basedOn w:val="TOC3"/>
    <w:uiPriority w:val="39"/>
    <w:rsid w:val="00802AA2"/>
    <w:pPr>
      <w:ind w:hanging="1418" w:left="1418"/>
    </w:pPr>
  </w:style>
  <w:style w:styleId="TOC3" w:type="paragraph">
    <w:name w:val="toc 3"/>
    <w:basedOn w:val="TOC2"/>
    <w:uiPriority w:val="39"/>
    <w:rsid w:val="00802AA2"/>
    <w:pPr>
      <w:ind w:hanging="1134" w:left="1134"/>
    </w:pPr>
  </w:style>
  <w:style w:styleId="TOC2" w:type="paragraph">
    <w:name w:val="toc 2"/>
    <w:basedOn w:val="TOC1"/>
    <w:uiPriority w:val="39"/>
    <w:rsid w:val="00802AA2"/>
    <w:pPr>
      <w:spacing w:before="0"/>
      <w:ind w:hanging="851" w:left="851"/>
    </w:pPr>
    <w:rPr>
      <w:sz w:val="20"/>
    </w:rPr>
  </w:style>
  <w:style w:styleId="Index1" w:type="paragraph">
    <w:name w:val="index 1"/>
    <w:basedOn w:val="Normal"/>
    <w:semiHidden/>
    <w:rsid w:val="00802AA2"/>
    <w:pPr>
      <w:keepLines/>
    </w:pPr>
  </w:style>
  <w:style w:styleId="Index2" w:type="paragraph">
    <w:name w:val="index 2"/>
    <w:basedOn w:val="Index1"/>
    <w:semiHidden/>
    <w:rsid w:val="00802AA2"/>
    <w:pPr>
      <w:ind w:left="284"/>
    </w:pPr>
  </w:style>
  <w:style w:customStyle="1" w:styleId="TT" w:type="paragraph">
    <w:name w:val="TT"/>
    <w:basedOn w:val="Heading1"/>
    <w:next w:val="Normal"/>
    <w:rsid w:val="00802AA2"/>
    <w:pPr>
      <w:outlineLvl w:val="9"/>
    </w:pPr>
  </w:style>
  <w:style w:styleId="Footer" w:type="paragraph">
    <w:name w:val="footer"/>
    <w:basedOn w:val="Header"/>
    <w:link w:val="FooterChar"/>
    <w:rsid w:val="00802AA2"/>
    <w:pPr>
      <w:jc w:val="center"/>
    </w:pPr>
    <w:rPr>
      <w:i/>
    </w:rPr>
  </w:style>
  <w:style w:customStyle="1" w:styleId="FooterChar" w:type="character">
    <w:name w:val="Footer Char"/>
    <w:link w:val="Footer"/>
    <w:rsid w:val="00BC33F7"/>
    <w:rPr>
      <w:rFonts w:ascii="Arial" w:hAnsi="Arial"/>
      <w:b/>
      <w:i/>
      <w:noProof/>
      <w:sz w:val="18"/>
      <w:lang w:eastAsia="en-US"/>
    </w:rPr>
  </w:style>
  <w:style w:styleId="FootnoteReference" w:type="character">
    <w:name w:val="footnote reference"/>
    <w:basedOn w:val="DefaultParagraphFont"/>
    <w:semiHidden/>
    <w:rsid w:val="00802AA2"/>
    <w:rPr>
      <w:b/>
      <w:position w:val="6"/>
      <w:sz w:val="16"/>
    </w:rPr>
  </w:style>
  <w:style w:styleId="FootnoteText" w:type="paragraph">
    <w:name w:val="footnote text"/>
    <w:basedOn w:val="Normal"/>
    <w:semiHidden/>
    <w:rsid w:val="00802AA2"/>
    <w:pPr>
      <w:keepLines/>
      <w:ind w:hanging="454" w:left="454"/>
    </w:pPr>
    <w:rPr>
      <w:sz w:val="16"/>
    </w:rPr>
  </w:style>
  <w:style w:customStyle="1" w:styleId="NF" w:type="paragraph">
    <w:name w:val="NF"/>
    <w:basedOn w:val="NO"/>
    <w:rsid w:val="00802AA2"/>
    <w:pPr>
      <w:keepNext/>
      <w:spacing w:after="0"/>
    </w:pPr>
    <w:rPr>
      <w:rFonts w:ascii="Arial" w:hAnsi="Arial"/>
      <w:sz w:val="18"/>
    </w:rPr>
  </w:style>
  <w:style w:customStyle="1" w:styleId="NO" w:type="paragraph">
    <w:name w:val="NO"/>
    <w:basedOn w:val="Normal"/>
    <w:link w:val="NOChar"/>
    <w:rsid w:val="00802AA2"/>
    <w:pPr>
      <w:keepLines/>
      <w:ind w:hanging="851" w:left="1135"/>
    </w:pPr>
  </w:style>
  <w:style w:customStyle="1" w:styleId="NOChar" w:type="character">
    <w:name w:val="NO Char"/>
    <w:link w:val="NO"/>
    <w:rsid w:val="00E05319"/>
    <w:rPr>
      <w:lang w:eastAsia="en-US"/>
    </w:rPr>
  </w:style>
  <w:style w:customStyle="1" w:styleId="PL" w:type="paragraph">
    <w:name w:val="PL"/>
    <w:link w:val="PLChar"/>
    <w:rsid w:val="00802AA2"/>
    <w:pPr>
      <w:tabs>
        <w:tab w:pos="384" w:val="left"/>
        <w:tab w:pos="768" w:val="left"/>
        <w:tab w:pos="1152" w:val="left"/>
        <w:tab w:pos="1536" w:val="left"/>
        <w:tab w:pos="1920" w:val="left"/>
        <w:tab w:pos="2304" w:val="left"/>
        <w:tab w:pos="2688" w:val="left"/>
        <w:tab w:pos="3072" w:val="left"/>
        <w:tab w:pos="3456" w:val="left"/>
        <w:tab w:pos="3840" w:val="left"/>
        <w:tab w:pos="4224" w:val="left"/>
        <w:tab w:pos="4608" w:val="left"/>
        <w:tab w:pos="4992" w:val="left"/>
        <w:tab w:pos="5376" w:val="left"/>
        <w:tab w:pos="5760" w:val="left"/>
        <w:tab w:pos="6144" w:val="left"/>
        <w:tab w:pos="6528" w:val="left"/>
        <w:tab w:pos="6912" w:val="left"/>
        <w:tab w:pos="7296" w:val="left"/>
        <w:tab w:pos="7680" w:val="left"/>
        <w:tab w:pos="8064" w:val="left"/>
        <w:tab w:pos="8448" w:val="left"/>
        <w:tab w:pos="8832" w:val="left"/>
        <w:tab w:pos="9216" w:val="left"/>
      </w:tabs>
      <w:overflowPunct w:val="0"/>
      <w:autoSpaceDE w:val="0"/>
      <w:autoSpaceDN w:val="0"/>
      <w:adjustRightInd w:val="0"/>
      <w:textAlignment w:val="baseline"/>
    </w:pPr>
    <w:rPr>
      <w:rFonts w:ascii="Courier New" w:hAnsi="Courier New"/>
      <w:noProof/>
      <w:sz w:val="16"/>
      <w:lang w:eastAsia="en-US"/>
    </w:rPr>
  </w:style>
  <w:style w:customStyle="1" w:styleId="PLChar" w:type="character">
    <w:name w:val="PL Char"/>
    <w:link w:val="PL"/>
    <w:rsid w:val="00DC7E33"/>
    <w:rPr>
      <w:rFonts w:ascii="Courier New" w:hAnsi="Courier New"/>
      <w:noProof/>
      <w:sz w:val="16"/>
      <w:lang w:eastAsia="en-US"/>
    </w:rPr>
  </w:style>
  <w:style w:customStyle="1" w:styleId="TAR" w:type="paragraph">
    <w:name w:val="TAR"/>
    <w:basedOn w:val="TAL"/>
    <w:rsid w:val="00802AA2"/>
    <w:pPr>
      <w:jc w:val="right"/>
    </w:pPr>
  </w:style>
  <w:style w:customStyle="1" w:styleId="TAL" w:type="paragraph">
    <w:name w:val="TAL"/>
    <w:basedOn w:val="Normal"/>
    <w:link w:val="TALChar"/>
    <w:rsid w:val="00802AA2"/>
    <w:pPr>
      <w:keepNext/>
      <w:keepLines/>
      <w:spacing w:after="0"/>
    </w:pPr>
    <w:rPr>
      <w:rFonts w:ascii="Arial" w:hAnsi="Arial"/>
      <w:sz w:val="18"/>
    </w:rPr>
  </w:style>
  <w:style w:customStyle="1" w:styleId="TALChar" w:type="character">
    <w:name w:val="TAL Char"/>
    <w:link w:val="TAL"/>
    <w:rsid w:val="009C2564"/>
    <w:rPr>
      <w:rFonts w:ascii="Arial" w:hAnsi="Arial"/>
      <w:sz w:val="18"/>
      <w:lang w:eastAsia="en-US"/>
    </w:rPr>
  </w:style>
  <w:style w:styleId="ListNumber2" w:type="paragraph">
    <w:name w:val="List Number 2"/>
    <w:basedOn w:val="ListNumber"/>
    <w:rsid w:val="00802AA2"/>
    <w:pPr>
      <w:ind w:left="851"/>
    </w:pPr>
  </w:style>
  <w:style w:styleId="ListNumber" w:type="paragraph">
    <w:name w:val="List Number"/>
    <w:basedOn w:val="List"/>
    <w:rsid w:val="00802AA2"/>
  </w:style>
  <w:style w:styleId="List" w:type="paragraph">
    <w:name w:val="List"/>
    <w:basedOn w:val="Normal"/>
    <w:rsid w:val="00802AA2"/>
    <w:pPr>
      <w:ind w:hanging="284" w:left="568"/>
    </w:pPr>
  </w:style>
  <w:style w:customStyle="1" w:styleId="TAH" w:type="paragraph">
    <w:name w:val="TAH"/>
    <w:basedOn w:val="TAC"/>
    <w:link w:val="TAHChar"/>
    <w:rsid w:val="00802AA2"/>
    <w:rPr>
      <w:b/>
    </w:rPr>
  </w:style>
  <w:style w:customStyle="1" w:styleId="TAC" w:type="paragraph">
    <w:name w:val="TAC"/>
    <w:basedOn w:val="TAL"/>
    <w:link w:val="TACChar"/>
    <w:rsid w:val="00802AA2"/>
    <w:pPr>
      <w:jc w:val="center"/>
    </w:pPr>
  </w:style>
  <w:style w:customStyle="1" w:styleId="LD" w:type="paragraph">
    <w:name w:val="LD"/>
    <w:rsid w:val="00802AA2"/>
    <w:pPr>
      <w:keepNext/>
      <w:keepLines/>
      <w:overflowPunct w:val="0"/>
      <w:autoSpaceDE w:val="0"/>
      <w:autoSpaceDN w:val="0"/>
      <w:adjustRightInd w:val="0"/>
      <w:spacing w:line="180" w:lineRule="exact"/>
      <w:textAlignment w:val="baseline"/>
    </w:pPr>
    <w:rPr>
      <w:rFonts w:ascii="Courier New" w:hAnsi="Courier New"/>
      <w:noProof/>
      <w:lang w:eastAsia="en-US"/>
    </w:rPr>
  </w:style>
  <w:style w:customStyle="1" w:styleId="EX" w:type="paragraph">
    <w:name w:val="EX"/>
    <w:basedOn w:val="Normal"/>
    <w:rsid w:val="00802AA2"/>
    <w:pPr>
      <w:keepLines/>
      <w:ind w:hanging="1418" w:left="1702"/>
    </w:pPr>
  </w:style>
  <w:style w:customStyle="1" w:styleId="FP" w:type="paragraph">
    <w:name w:val="FP"/>
    <w:basedOn w:val="Normal"/>
    <w:rsid w:val="00802AA2"/>
    <w:pPr>
      <w:spacing w:after="0"/>
    </w:pPr>
  </w:style>
  <w:style w:customStyle="1" w:styleId="NW" w:type="paragraph">
    <w:name w:val="NW"/>
    <w:basedOn w:val="NO"/>
    <w:rsid w:val="00802AA2"/>
    <w:pPr>
      <w:spacing w:after="0"/>
    </w:pPr>
  </w:style>
  <w:style w:customStyle="1" w:styleId="EW" w:type="paragraph">
    <w:name w:val="EW"/>
    <w:basedOn w:val="EX"/>
    <w:rsid w:val="00802AA2"/>
    <w:pPr>
      <w:spacing w:after="0"/>
    </w:pPr>
  </w:style>
  <w:style w:customStyle="1" w:styleId="B10" w:type="paragraph">
    <w:name w:val="B1"/>
    <w:basedOn w:val="List"/>
    <w:rsid w:val="00802AA2"/>
    <w:pPr>
      <w:ind w:hanging="454" w:left="738"/>
    </w:pPr>
  </w:style>
  <w:style w:styleId="TOC6" w:type="paragraph">
    <w:name w:val="toc 6"/>
    <w:basedOn w:val="TOC5"/>
    <w:next w:val="Normal"/>
    <w:semiHidden/>
    <w:rsid w:val="00802AA2"/>
    <w:pPr>
      <w:ind w:hanging="1985" w:left="1985"/>
    </w:pPr>
  </w:style>
  <w:style w:styleId="TOC7" w:type="paragraph">
    <w:name w:val="toc 7"/>
    <w:basedOn w:val="TOC6"/>
    <w:next w:val="Normal"/>
    <w:semiHidden/>
    <w:rsid w:val="00802AA2"/>
    <w:pPr>
      <w:ind w:hanging="2268" w:left="2268"/>
    </w:pPr>
  </w:style>
  <w:style w:styleId="ListBullet2" w:type="paragraph">
    <w:name w:val="List Bullet 2"/>
    <w:basedOn w:val="ListBullet"/>
    <w:rsid w:val="00802AA2"/>
    <w:pPr>
      <w:ind w:left="851"/>
    </w:pPr>
  </w:style>
  <w:style w:styleId="ListBullet" w:type="paragraph">
    <w:name w:val="List Bullet"/>
    <w:basedOn w:val="List"/>
    <w:rsid w:val="00802AA2"/>
  </w:style>
  <w:style w:customStyle="1" w:styleId="EditorsNote" w:type="paragraph">
    <w:name w:val="Editor's Note"/>
    <w:basedOn w:val="NO"/>
    <w:rsid w:val="00802AA2"/>
    <w:rPr>
      <w:color w:val="FF0000"/>
    </w:rPr>
  </w:style>
  <w:style w:customStyle="1" w:styleId="TH" w:type="paragraph">
    <w:name w:val="TH"/>
    <w:basedOn w:val="FL"/>
    <w:next w:val="FL"/>
    <w:link w:val="THChar"/>
    <w:rsid w:val="00802AA2"/>
  </w:style>
  <w:style w:customStyle="1" w:styleId="FL" w:type="paragraph">
    <w:name w:val="FL"/>
    <w:basedOn w:val="Normal"/>
    <w:link w:val="FLChar"/>
    <w:rsid w:val="00802AA2"/>
    <w:pPr>
      <w:keepNext/>
      <w:keepLines/>
      <w:spacing w:before="60"/>
      <w:jc w:val="center"/>
    </w:pPr>
    <w:rPr>
      <w:rFonts w:ascii="Arial" w:hAnsi="Arial"/>
      <w:b/>
    </w:rPr>
  </w:style>
  <w:style w:customStyle="1" w:styleId="ZA" w:type="paragraph">
    <w:name w:val="ZA"/>
    <w:rsid w:val="00802AA2"/>
    <w:pPr>
      <w:framePr w:h="794" w:hAnchor="margin" w:hRule="exact" w:vAnchor="page" w:w="10206" w:wrap="notBeside" w:y="1135"/>
      <w:widowControl w:val="0"/>
      <w:pBdr>
        <w:bottom w:color="auto" w:space="1" w:sz="12" w:val="single"/>
      </w:pBdr>
      <w:overflowPunct w:val="0"/>
      <w:autoSpaceDE w:val="0"/>
      <w:autoSpaceDN w:val="0"/>
      <w:adjustRightInd w:val="0"/>
      <w:jc w:val="right"/>
      <w:textAlignment w:val="baseline"/>
    </w:pPr>
    <w:rPr>
      <w:rFonts w:ascii="Arial" w:hAnsi="Arial"/>
      <w:noProof/>
      <w:sz w:val="40"/>
      <w:lang w:eastAsia="en-US"/>
    </w:rPr>
  </w:style>
  <w:style w:customStyle="1" w:styleId="ZB" w:type="paragraph">
    <w:name w:val="ZB"/>
    <w:rsid w:val="00802AA2"/>
    <w:pPr>
      <w:framePr w:h="284" w:hAnchor="margin" w:hRule="exact" w:vAnchor="page" w:w="10206" w:wrap="notBeside" w:y="1986"/>
      <w:widowControl w:val="0"/>
      <w:overflowPunct w:val="0"/>
      <w:autoSpaceDE w:val="0"/>
      <w:autoSpaceDN w:val="0"/>
      <w:adjustRightInd w:val="0"/>
      <w:ind w:right="28"/>
      <w:jc w:val="right"/>
      <w:textAlignment w:val="baseline"/>
    </w:pPr>
    <w:rPr>
      <w:rFonts w:ascii="Arial" w:hAnsi="Arial"/>
      <w:i/>
      <w:noProof/>
      <w:lang w:eastAsia="en-US"/>
    </w:rPr>
  </w:style>
  <w:style w:customStyle="1" w:styleId="ZT" w:type="paragraph">
    <w:name w:val="ZT"/>
    <w:rsid w:val="00802AA2"/>
    <w:pPr>
      <w:framePr w:anchorLock="1" w:hAnchor="margin" w:vAnchor="page" w:wrap="notBeside" w:yAlign="center"/>
      <w:widowControl w:val="0"/>
      <w:overflowPunct w:val="0"/>
      <w:autoSpaceDE w:val="0"/>
      <w:autoSpaceDN w:val="0"/>
      <w:adjustRightInd w:val="0"/>
      <w:spacing w:line="240" w:lineRule="atLeast"/>
      <w:jc w:val="center"/>
      <w:textAlignment w:val="baseline"/>
    </w:pPr>
    <w:rPr>
      <w:rFonts w:ascii="Arial" w:hAnsi="Arial"/>
      <w:b/>
      <w:sz w:val="34"/>
      <w:lang w:eastAsia="en-US"/>
    </w:rPr>
  </w:style>
  <w:style w:customStyle="1" w:styleId="ZU" w:type="paragraph">
    <w:name w:val="ZU"/>
    <w:rsid w:val="00802AA2"/>
    <w:pPr>
      <w:framePr w:hAnchor="margin" w:vAnchor="page" w:w="10206" w:wrap="notBeside" w:y="6238"/>
      <w:widowControl w:val="0"/>
      <w:pBdr>
        <w:top w:color="auto" w:space="1" w:sz="12" w:val="single"/>
      </w:pBdr>
      <w:overflowPunct w:val="0"/>
      <w:autoSpaceDE w:val="0"/>
      <w:autoSpaceDN w:val="0"/>
      <w:adjustRightInd w:val="0"/>
      <w:jc w:val="right"/>
      <w:textAlignment w:val="baseline"/>
    </w:pPr>
    <w:rPr>
      <w:rFonts w:ascii="Arial" w:hAnsi="Arial"/>
      <w:noProof/>
      <w:lang w:eastAsia="en-US"/>
    </w:rPr>
  </w:style>
  <w:style w:customStyle="1" w:styleId="TAN" w:type="paragraph">
    <w:name w:val="TAN"/>
    <w:basedOn w:val="TAL"/>
    <w:rsid w:val="00802AA2"/>
    <w:pPr>
      <w:ind w:hanging="851" w:left="851"/>
    </w:pPr>
  </w:style>
  <w:style w:customStyle="1" w:styleId="ZH" w:type="paragraph">
    <w:name w:val="ZH"/>
    <w:rsid w:val="00802AA2"/>
    <w:pPr>
      <w:framePr w:hAnchor="margin" w:vAnchor="page" w:wrap="notBeside" w:xAlign="center" w:y="6805"/>
      <w:widowControl w:val="0"/>
      <w:overflowPunct w:val="0"/>
      <w:autoSpaceDE w:val="0"/>
      <w:autoSpaceDN w:val="0"/>
      <w:adjustRightInd w:val="0"/>
      <w:textAlignment w:val="baseline"/>
    </w:pPr>
    <w:rPr>
      <w:rFonts w:ascii="Arial" w:hAnsi="Arial"/>
      <w:noProof/>
      <w:lang w:eastAsia="en-US"/>
    </w:rPr>
  </w:style>
  <w:style w:customStyle="1" w:styleId="TF" w:type="paragraph">
    <w:name w:val="TF"/>
    <w:basedOn w:val="FL"/>
    <w:link w:val="TFChar"/>
    <w:rsid w:val="00802AA2"/>
    <w:pPr>
      <w:keepNext w:val="0"/>
      <w:spacing w:after="240" w:before="0"/>
    </w:pPr>
  </w:style>
  <w:style w:customStyle="1" w:styleId="ZG" w:type="paragraph">
    <w:name w:val="ZG"/>
    <w:rsid w:val="00802AA2"/>
    <w:pPr>
      <w:framePr w:hAnchor="margin" w:vAnchor="page" w:wrap="notBeside" w:xAlign="right" w:y="6805"/>
      <w:widowControl w:val="0"/>
      <w:overflowPunct w:val="0"/>
      <w:autoSpaceDE w:val="0"/>
      <w:autoSpaceDN w:val="0"/>
      <w:adjustRightInd w:val="0"/>
      <w:jc w:val="right"/>
      <w:textAlignment w:val="baseline"/>
    </w:pPr>
    <w:rPr>
      <w:rFonts w:ascii="Arial" w:hAnsi="Arial"/>
      <w:noProof/>
      <w:lang w:eastAsia="en-US"/>
    </w:rPr>
  </w:style>
  <w:style w:styleId="ListBullet3" w:type="paragraph">
    <w:name w:val="List Bullet 3"/>
    <w:basedOn w:val="ListBullet2"/>
    <w:rsid w:val="00802AA2"/>
    <w:pPr>
      <w:ind w:left="1135"/>
    </w:pPr>
  </w:style>
  <w:style w:styleId="List2" w:type="paragraph">
    <w:name w:val="List 2"/>
    <w:basedOn w:val="List"/>
    <w:rsid w:val="00802AA2"/>
    <w:pPr>
      <w:ind w:left="851"/>
    </w:pPr>
  </w:style>
  <w:style w:styleId="List3" w:type="paragraph">
    <w:name w:val="List 3"/>
    <w:basedOn w:val="List2"/>
    <w:rsid w:val="00802AA2"/>
    <w:pPr>
      <w:ind w:left="1135"/>
    </w:pPr>
  </w:style>
  <w:style w:styleId="List4" w:type="paragraph">
    <w:name w:val="List 4"/>
    <w:basedOn w:val="List3"/>
    <w:rsid w:val="00802AA2"/>
    <w:pPr>
      <w:ind w:left="1418"/>
    </w:pPr>
  </w:style>
  <w:style w:styleId="List5" w:type="paragraph">
    <w:name w:val="List 5"/>
    <w:basedOn w:val="List4"/>
    <w:rsid w:val="00802AA2"/>
    <w:pPr>
      <w:ind w:left="1702"/>
    </w:pPr>
  </w:style>
  <w:style w:styleId="ListBullet4" w:type="paragraph">
    <w:name w:val="List Bullet 4"/>
    <w:basedOn w:val="ListBullet3"/>
    <w:rsid w:val="00802AA2"/>
    <w:pPr>
      <w:ind w:left="1418"/>
    </w:pPr>
  </w:style>
  <w:style w:styleId="ListBullet5" w:type="paragraph">
    <w:name w:val="List Bullet 5"/>
    <w:basedOn w:val="ListBullet4"/>
    <w:rsid w:val="00802AA2"/>
    <w:pPr>
      <w:ind w:left="1702"/>
    </w:pPr>
  </w:style>
  <w:style w:customStyle="1" w:styleId="B20" w:type="paragraph">
    <w:name w:val="B2"/>
    <w:basedOn w:val="List2"/>
    <w:rsid w:val="00802AA2"/>
    <w:pPr>
      <w:ind w:hanging="454" w:left="1191"/>
    </w:pPr>
  </w:style>
  <w:style w:customStyle="1" w:styleId="B30" w:type="paragraph">
    <w:name w:val="B3"/>
    <w:basedOn w:val="List3"/>
    <w:rsid w:val="00802AA2"/>
    <w:pPr>
      <w:ind w:hanging="454" w:left="1645"/>
    </w:pPr>
  </w:style>
  <w:style w:customStyle="1" w:styleId="B4" w:type="paragraph">
    <w:name w:val="B4"/>
    <w:basedOn w:val="List4"/>
    <w:rsid w:val="00802AA2"/>
    <w:pPr>
      <w:ind w:hanging="454" w:left="2098"/>
    </w:pPr>
  </w:style>
  <w:style w:customStyle="1" w:styleId="B5" w:type="paragraph">
    <w:name w:val="B5"/>
    <w:basedOn w:val="List5"/>
    <w:rsid w:val="00802AA2"/>
    <w:pPr>
      <w:ind w:hanging="454" w:left="2552"/>
    </w:pPr>
  </w:style>
  <w:style w:customStyle="1" w:styleId="ZTD" w:type="paragraph">
    <w:name w:val="ZTD"/>
    <w:basedOn w:val="ZB"/>
    <w:rsid w:val="00802AA2"/>
    <w:pPr>
      <w:framePr w:hRule="auto" w:wrap="notBeside" w:y="852"/>
    </w:pPr>
    <w:rPr>
      <w:i w:val="0"/>
      <w:sz w:val="40"/>
    </w:rPr>
  </w:style>
  <w:style w:customStyle="1" w:styleId="ZV" w:type="paragraph">
    <w:name w:val="ZV"/>
    <w:basedOn w:val="ZU"/>
    <w:rsid w:val="00802AA2"/>
    <w:pPr>
      <w:framePr w:wrap="notBeside" w:y="16161"/>
    </w:pPr>
  </w:style>
  <w:style w:styleId="IndexHeading" w:type="paragraph">
    <w:name w:val="index heading"/>
    <w:basedOn w:val="Normal"/>
    <w:next w:val="Normal"/>
    <w:semiHidden/>
    <w:pPr>
      <w:pBdr>
        <w:top w:color="auto" w:space="0" w:sz="12" w:val="single"/>
      </w:pBdr>
      <w:spacing w:after="240" w:before="360"/>
    </w:pPr>
    <w:rPr>
      <w:b/>
      <w:i/>
      <w:sz w:val="26"/>
    </w:rPr>
  </w:style>
  <w:style w:styleId="CommentSubject" w:type="paragraph">
    <w:name w:val="annotation subject"/>
    <w:basedOn w:val="CommentText"/>
    <w:next w:val="CommentText"/>
    <w:link w:val="CommentSubjectChar"/>
    <w:rsid w:val="006D4E50"/>
    <w:rPr>
      <w:b/>
      <w:bCs/>
    </w:rPr>
  </w:style>
  <w:style w:styleId="CommentText" w:type="paragraph">
    <w:name w:val="annotation text"/>
    <w:basedOn w:val="Normal"/>
    <w:link w:val="CommentTextChar"/>
    <w:semiHidden/>
  </w:style>
  <w:style w:customStyle="1" w:styleId="CommentTextChar" w:type="character">
    <w:name w:val="Comment Text Char"/>
    <w:link w:val="CommentText"/>
    <w:semiHidden/>
    <w:rsid w:val="006D4E50"/>
    <w:rPr>
      <w:lang w:eastAsia="en-US"/>
    </w:rPr>
  </w:style>
  <w:style w:customStyle="1" w:styleId="CommentSubjectChar" w:type="character">
    <w:name w:val="Comment Subject Char"/>
    <w:link w:val="CommentSubject"/>
    <w:rsid w:val="006D4E50"/>
    <w:rPr>
      <w:b/>
      <w:bCs/>
      <w:lang w:eastAsia="en-US"/>
    </w:rPr>
  </w:style>
  <w:style w:styleId="Hyperlink" w:type="character">
    <w:name w:val="Hyperlink"/>
    <w:rPr>
      <w:color w:val="0000FF"/>
      <w:u w:val="single"/>
    </w:rPr>
  </w:style>
  <w:style w:styleId="FollowedHyperlink" w:type="character">
    <w:name w:val="FollowedHyperlink"/>
    <w:rPr>
      <w:color w:val="800080"/>
      <w:u w:val="single"/>
    </w:rPr>
  </w:style>
  <w:style w:customStyle="1" w:styleId="B3" w:type="paragraph">
    <w:name w:val="B3+"/>
    <w:basedOn w:val="B30"/>
    <w:rsid w:val="00802AA2"/>
    <w:pPr>
      <w:numPr>
        <w:numId w:val="3"/>
      </w:numPr>
      <w:tabs>
        <w:tab w:pos="1134" w:val="left"/>
      </w:tabs>
    </w:pPr>
  </w:style>
  <w:style w:customStyle="1" w:styleId="B1" w:type="paragraph">
    <w:name w:val="B1+"/>
    <w:basedOn w:val="B10"/>
    <w:link w:val="B1Char"/>
    <w:rsid w:val="00802AA2"/>
    <w:pPr>
      <w:numPr>
        <w:numId w:val="1"/>
      </w:numPr>
    </w:pPr>
  </w:style>
  <w:style w:customStyle="1" w:styleId="B1Char" w:type="character">
    <w:name w:val="B1+ Char"/>
    <w:link w:val="B1"/>
    <w:rsid w:val="00DC7E33"/>
    <w:rPr>
      <w:lang w:eastAsia="en-US"/>
    </w:rPr>
  </w:style>
  <w:style w:customStyle="1" w:styleId="B2" w:type="paragraph">
    <w:name w:val="B2+"/>
    <w:basedOn w:val="B20"/>
    <w:rsid w:val="00802AA2"/>
    <w:pPr>
      <w:numPr>
        <w:numId w:val="2"/>
      </w:numPr>
    </w:pPr>
  </w:style>
  <w:style w:customStyle="1" w:styleId="BL" w:type="paragraph">
    <w:name w:val="BL"/>
    <w:basedOn w:val="Normal"/>
    <w:rsid w:val="00802AA2"/>
    <w:pPr>
      <w:numPr>
        <w:numId w:val="5"/>
      </w:numPr>
      <w:tabs>
        <w:tab w:pos="851" w:val="left"/>
      </w:tabs>
    </w:pPr>
  </w:style>
  <w:style w:customStyle="1" w:styleId="BN" w:type="paragraph">
    <w:name w:val="BN"/>
    <w:basedOn w:val="Normal"/>
    <w:rsid w:val="00802AA2"/>
    <w:pPr>
      <w:numPr>
        <w:numId w:val="4"/>
      </w:numPr>
    </w:pPr>
  </w:style>
  <w:style w:styleId="BodyText" w:type="paragraph">
    <w:name w:val="Body Text"/>
    <w:basedOn w:val="Normal"/>
    <w:pPr>
      <w:keepNext/>
      <w:spacing w:after="140"/>
    </w:pPr>
  </w:style>
  <w:style w:styleId="BlockText" w:type="paragraph">
    <w:name w:val="Block Text"/>
    <w:basedOn w:val="Normal"/>
    <w:pPr>
      <w:spacing w:after="120"/>
      <w:ind w:left="1440" w:right="1440"/>
    </w:pPr>
  </w:style>
  <w:style w:styleId="BodyText2" w:type="paragraph">
    <w:name w:val="Body Text 2"/>
    <w:basedOn w:val="Normal"/>
    <w:pPr>
      <w:spacing w:after="120" w:line="480" w:lineRule="auto"/>
    </w:pPr>
  </w:style>
  <w:style w:styleId="BodyText3" w:type="paragraph">
    <w:name w:val="Body Text 3"/>
    <w:basedOn w:val="Normal"/>
    <w:pPr>
      <w:spacing w:after="120"/>
    </w:pPr>
    <w:rPr>
      <w:sz w:val="16"/>
      <w:szCs w:val="16"/>
    </w:rPr>
  </w:style>
  <w:style w:styleId="BodyTextFirstIndent" w:type="paragraph">
    <w:name w:val="Body Text First Indent"/>
    <w:basedOn w:val="BodyText"/>
    <w:pPr>
      <w:keepNext w:val="0"/>
      <w:spacing w:after="120"/>
      <w:ind w:firstLine="210"/>
    </w:pPr>
  </w:style>
  <w:style w:styleId="BodyTextIndent" w:type="paragraph">
    <w:name w:val="Body Text Indent"/>
    <w:basedOn w:val="Normal"/>
    <w:pPr>
      <w:spacing w:after="120"/>
      <w:ind w:left="283"/>
    </w:pPr>
  </w:style>
  <w:style w:styleId="BodyTextFirstIndent2" w:type="paragraph">
    <w:name w:val="Body Text First Indent 2"/>
    <w:basedOn w:val="BodyTextIndent"/>
    <w:pPr>
      <w:ind w:firstLine="210"/>
    </w:pPr>
  </w:style>
  <w:style w:styleId="BodyTextIndent2" w:type="paragraph">
    <w:name w:val="Body Text Indent 2"/>
    <w:basedOn w:val="Normal"/>
    <w:pPr>
      <w:spacing w:after="120" w:line="480" w:lineRule="auto"/>
      <w:ind w:left="283"/>
    </w:pPr>
  </w:style>
  <w:style w:styleId="BodyTextIndent3" w:type="paragraph">
    <w:name w:val="Body Text Indent 3"/>
    <w:basedOn w:val="Normal"/>
    <w:pPr>
      <w:spacing w:after="120"/>
      <w:ind w:left="283"/>
    </w:pPr>
    <w:rPr>
      <w:sz w:val="16"/>
      <w:szCs w:val="16"/>
    </w:rPr>
  </w:style>
  <w:style w:styleId="Caption" w:type="paragraph">
    <w:name w:val="caption"/>
    <w:basedOn w:val="Normal"/>
    <w:next w:val="Normal"/>
    <w:qFormat/>
    <w:pPr>
      <w:spacing w:after="120" w:before="120"/>
    </w:pPr>
    <w:rPr>
      <w:b/>
      <w:bCs/>
    </w:rPr>
  </w:style>
  <w:style w:styleId="Closing" w:type="paragraph">
    <w:name w:val="Closing"/>
    <w:basedOn w:val="Normal"/>
    <w:pPr>
      <w:ind w:left="4252"/>
    </w:pPr>
  </w:style>
  <w:style w:styleId="CommentReference" w:type="character">
    <w:name w:val="annotation reference"/>
    <w:semiHidden/>
    <w:rPr>
      <w:sz w:val="16"/>
      <w:szCs w:val="16"/>
    </w:rPr>
  </w:style>
  <w:style w:styleId="Date" w:type="paragraph">
    <w:name w:val="Date"/>
    <w:basedOn w:val="Normal"/>
    <w:next w:val="Normal"/>
  </w:style>
  <w:style w:styleId="DocumentMap" w:type="paragraph">
    <w:name w:val="Document Map"/>
    <w:basedOn w:val="Normal"/>
    <w:semiHidden/>
    <w:pPr>
      <w:shd w:color="auto" w:fill="000080" w:val="clear"/>
    </w:pPr>
    <w:rPr>
      <w:rFonts w:ascii="Tahoma" w:cs="Tahoma" w:hAnsi="Tahoma"/>
    </w:rPr>
  </w:style>
  <w:style w:styleId="E-mailSignature" w:type="paragraph">
    <w:name w:val="E-mail Signature"/>
    <w:basedOn w:val="Normal"/>
  </w:style>
  <w:style w:styleId="Emphasis" w:type="character">
    <w:name w:val="Emphasis"/>
    <w:qFormat/>
    <w:rPr>
      <w:i/>
      <w:iCs/>
    </w:rPr>
  </w:style>
  <w:style w:styleId="EndnoteReference" w:type="character">
    <w:name w:val="endnote reference"/>
    <w:semiHidden/>
    <w:rPr>
      <w:vertAlign w:val="superscript"/>
    </w:rPr>
  </w:style>
  <w:style w:styleId="EndnoteText" w:type="paragraph">
    <w:name w:val="endnote text"/>
    <w:basedOn w:val="Normal"/>
    <w:semiHidden/>
  </w:style>
  <w:style w:styleId="EnvelopeAddress" w:type="paragraph">
    <w:name w:val="envelope address"/>
    <w:basedOn w:val="Normal"/>
    <w:pPr>
      <w:framePr w:h="1980" w:hAnchor="page" w:hRule="exact" w:hSpace="180" w:w="7920" w:wrap="auto" w:xAlign="center" w:yAlign="bottom"/>
      <w:ind w:left="2880"/>
    </w:pPr>
    <w:rPr>
      <w:rFonts w:ascii="Arial" w:cs="Arial" w:hAnsi="Arial"/>
      <w:sz w:val="24"/>
      <w:szCs w:val="24"/>
    </w:rPr>
  </w:style>
  <w:style w:styleId="EnvelopeReturn" w:type="paragraph">
    <w:name w:val="envelope return"/>
    <w:basedOn w:val="Normal"/>
    <w:rPr>
      <w:rFonts w:ascii="Arial" w:cs="Arial" w:hAnsi="Arial"/>
    </w:rPr>
  </w:style>
  <w:style w:styleId="HTMLAcronym" w:type="character">
    <w:name w:val="HTML Acronym"/>
    <w:basedOn w:val="DefaultParagraphFont"/>
  </w:style>
  <w:style w:styleId="HTMLAddress" w:type="paragraph">
    <w:name w:val="HTML Address"/>
    <w:basedOn w:val="Normal"/>
    <w:rPr>
      <w:i/>
      <w:iCs/>
    </w:rPr>
  </w:style>
  <w:style w:styleId="HTMLCite" w:type="character">
    <w:name w:val="HTML Cite"/>
    <w:rPr>
      <w:i/>
      <w:iCs/>
    </w:rPr>
  </w:style>
  <w:style w:styleId="HTMLCode" w:type="character">
    <w:name w:val="HTML Code"/>
    <w:rPr>
      <w:rFonts w:ascii="Courier New" w:hAnsi="Courier New"/>
      <w:sz w:val="20"/>
      <w:szCs w:val="20"/>
    </w:rPr>
  </w:style>
  <w:style w:styleId="HTMLDefinition" w:type="character">
    <w:name w:val="HTML Definition"/>
    <w:rPr>
      <w:i/>
      <w:iCs/>
    </w:rPr>
  </w:style>
  <w:style w:styleId="HTMLKeyboard" w:type="character">
    <w:name w:val="HTML Keyboard"/>
    <w:rPr>
      <w:rFonts w:ascii="Courier New" w:hAnsi="Courier New"/>
      <w:sz w:val="20"/>
      <w:szCs w:val="20"/>
    </w:rPr>
  </w:style>
  <w:style w:styleId="HTMLPreformatted" w:type="paragraph">
    <w:name w:val="HTML Preformatted"/>
    <w:basedOn w:val="Normal"/>
    <w:rPr>
      <w:rFonts w:ascii="Courier New" w:cs="Courier New" w:hAnsi="Courier New"/>
    </w:rPr>
  </w:style>
  <w:style w:styleId="HTMLSample" w:type="character">
    <w:name w:val="HTML Sample"/>
    <w:rPr>
      <w:rFonts w:ascii="Courier New" w:hAnsi="Courier New"/>
    </w:rPr>
  </w:style>
  <w:style w:styleId="HTMLTypewriter" w:type="character">
    <w:name w:val="HTML Typewriter"/>
    <w:rPr>
      <w:rFonts w:ascii="Courier New" w:hAnsi="Courier New"/>
      <w:sz w:val="20"/>
      <w:szCs w:val="20"/>
    </w:rPr>
  </w:style>
  <w:style w:styleId="HTMLVariable" w:type="character">
    <w:name w:val="HTML Variable"/>
    <w:rPr>
      <w:i/>
      <w:iCs/>
    </w:rPr>
  </w:style>
  <w:style w:styleId="Index3" w:type="paragraph">
    <w:name w:val="index 3"/>
    <w:basedOn w:val="Normal"/>
    <w:next w:val="Normal"/>
    <w:autoRedefine/>
    <w:semiHidden/>
    <w:pPr>
      <w:ind w:hanging="200" w:left="600"/>
    </w:pPr>
  </w:style>
  <w:style w:styleId="Index4" w:type="paragraph">
    <w:name w:val="index 4"/>
    <w:basedOn w:val="Normal"/>
    <w:next w:val="Normal"/>
    <w:autoRedefine/>
    <w:semiHidden/>
    <w:pPr>
      <w:ind w:hanging="200" w:left="800"/>
    </w:pPr>
  </w:style>
  <w:style w:styleId="Index5" w:type="paragraph">
    <w:name w:val="index 5"/>
    <w:basedOn w:val="Normal"/>
    <w:next w:val="Normal"/>
    <w:autoRedefine/>
    <w:semiHidden/>
    <w:pPr>
      <w:ind w:hanging="200" w:left="1000"/>
    </w:pPr>
  </w:style>
  <w:style w:styleId="Index6" w:type="paragraph">
    <w:name w:val="index 6"/>
    <w:basedOn w:val="Normal"/>
    <w:next w:val="Normal"/>
    <w:autoRedefine/>
    <w:semiHidden/>
    <w:pPr>
      <w:ind w:hanging="200" w:left="1200"/>
    </w:pPr>
  </w:style>
  <w:style w:styleId="Index7" w:type="paragraph">
    <w:name w:val="index 7"/>
    <w:basedOn w:val="Normal"/>
    <w:next w:val="Normal"/>
    <w:autoRedefine/>
    <w:semiHidden/>
    <w:pPr>
      <w:ind w:hanging="200" w:left="1400"/>
    </w:pPr>
  </w:style>
  <w:style w:styleId="Index8" w:type="paragraph">
    <w:name w:val="index 8"/>
    <w:basedOn w:val="Normal"/>
    <w:next w:val="Normal"/>
    <w:autoRedefine/>
    <w:semiHidden/>
    <w:pPr>
      <w:ind w:hanging="200" w:left="1600"/>
    </w:pPr>
  </w:style>
  <w:style w:styleId="Index9" w:type="paragraph">
    <w:name w:val="index 9"/>
    <w:basedOn w:val="Normal"/>
    <w:next w:val="Normal"/>
    <w:autoRedefine/>
    <w:semiHidden/>
    <w:pPr>
      <w:ind w:hanging="200" w:left="1800"/>
    </w:pPr>
  </w:style>
  <w:style w:styleId="LineNumber" w:type="character">
    <w:name w:val="line number"/>
    <w:basedOn w:val="DefaultParagraphFont"/>
  </w:style>
  <w:style w:styleId="ListContinue" w:type="paragraph">
    <w:name w:val="List Continue"/>
    <w:basedOn w:val="Normal"/>
    <w:pPr>
      <w:spacing w:after="120"/>
      <w:ind w:left="283"/>
    </w:pPr>
  </w:style>
  <w:style w:styleId="ListContinue2" w:type="paragraph">
    <w:name w:val="List Continue 2"/>
    <w:basedOn w:val="Normal"/>
    <w:pPr>
      <w:spacing w:after="120"/>
      <w:ind w:left="566"/>
    </w:pPr>
  </w:style>
  <w:style w:styleId="ListContinue3" w:type="paragraph">
    <w:name w:val="List Continue 3"/>
    <w:basedOn w:val="Normal"/>
    <w:pPr>
      <w:spacing w:after="120"/>
      <w:ind w:left="849"/>
    </w:pPr>
  </w:style>
  <w:style w:styleId="ListContinue4" w:type="paragraph">
    <w:name w:val="List Continue 4"/>
    <w:basedOn w:val="Normal"/>
    <w:pPr>
      <w:spacing w:after="120"/>
      <w:ind w:left="1132"/>
    </w:pPr>
  </w:style>
  <w:style w:styleId="ListContinue5" w:type="paragraph">
    <w:name w:val="List Continue 5"/>
    <w:basedOn w:val="Normal"/>
    <w:pPr>
      <w:spacing w:after="120"/>
      <w:ind w:left="1415"/>
    </w:pPr>
  </w:style>
  <w:style w:styleId="ListNumber3" w:type="paragraph">
    <w:name w:val="List Number 3"/>
    <w:basedOn w:val="Normal"/>
    <w:pPr>
      <w:numPr>
        <w:numId w:val="6"/>
      </w:numPr>
    </w:pPr>
  </w:style>
  <w:style w:styleId="ListNumber4" w:type="paragraph">
    <w:name w:val="List Number 4"/>
    <w:basedOn w:val="Normal"/>
    <w:pPr>
      <w:numPr>
        <w:numId w:val="7"/>
      </w:numPr>
    </w:pPr>
  </w:style>
  <w:style w:styleId="ListNumber5" w:type="paragraph">
    <w:name w:val="List Number 5"/>
    <w:basedOn w:val="Normal"/>
    <w:pPr>
      <w:numPr>
        <w:numId w:val="8"/>
      </w:numPr>
    </w:pPr>
  </w:style>
  <w:style w:styleId="MacroText" w:type="paragraph">
    <w:name w:val="macro"/>
    <w:semiHidden/>
    <w:pPr>
      <w:tabs>
        <w:tab w:pos="480" w:val="left"/>
        <w:tab w:pos="960" w:val="left"/>
        <w:tab w:pos="1440" w:val="left"/>
        <w:tab w:pos="1920" w:val="left"/>
        <w:tab w:pos="2400" w:val="left"/>
        <w:tab w:pos="2880" w:val="left"/>
        <w:tab w:pos="3360" w:val="left"/>
        <w:tab w:pos="3840" w:val="left"/>
        <w:tab w:pos="4320" w:val="left"/>
      </w:tabs>
      <w:overflowPunct w:val="0"/>
      <w:autoSpaceDE w:val="0"/>
      <w:autoSpaceDN w:val="0"/>
      <w:adjustRightInd w:val="0"/>
      <w:spacing w:after="180"/>
      <w:textAlignment w:val="baseline"/>
    </w:pPr>
    <w:rPr>
      <w:rFonts w:ascii="Courier New" w:cs="Courier New" w:hAnsi="Courier New"/>
      <w:lang w:eastAsia="en-US"/>
    </w:rPr>
  </w:style>
  <w:style w:styleId="MessageHeader" w:type="paragraph">
    <w:name w:val="Message Header"/>
    <w:basedOn w:val="Normal"/>
    <w:pPr>
      <w:pBdr>
        <w:top w:color="auto" w:space="1" w:sz="6" w:val="single"/>
        <w:left w:color="auto" w:space="1" w:sz="6" w:val="single"/>
        <w:bottom w:color="auto" w:space="1" w:sz="6" w:val="single"/>
        <w:right w:color="auto" w:space="1" w:sz="6" w:val="single"/>
      </w:pBdr>
      <w:shd w:color="auto" w:fill="auto" w:val="pct20"/>
      <w:ind w:hanging="1134" w:left="1134"/>
    </w:pPr>
    <w:rPr>
      <w:rFonts w:ascii="Arial" w:cs="Arial" w:hAnsi="Arial"/>
      <w:sz w:val="24"/>
      <w:szCs w:val="24"/>
    </w:rPr>
  </w:style>
  <w:style w:styleId="NormalWeb" w:type="paragraph">
    <w:name w:val="Normal (Web)"/>
    <w:basedOn w:val="Normal"/>
    <w:uiPriority w:val="99"/>
    <w:rPr>
      <w:sz w:val="24"/>
      <w:szCs w:val="24"/>
    </w:rPr>
  </w:style>
  <w:style w:styleId="NormalIndent" w:type="paragraph">
    <w:name w:val="Normal Indent"/>
    <w:basedOn w:val="Normal"/>
    <w:pPr>
      <w:ind w:left="720"/>
    </w:pPr>
  </w:style>
  <w:style w:styleId="NoteHeading" w:type="paragraph">
    <w:name w:val="Note Heading"/>
    <w:basedOn w:val="Normal"/>
    <w:next w:val="Normal"/>
  </w:style>
  <w:style w:styleId="PageNumber" w:type="character">
    <w:name w:val="page number"/>
    <w:basedOn w:val="DefaultParagraphFont"/>
  </w:style>
  <w:style w:styleId="PlainText" w:type="paragraph">
    <w:name w:val="Plain Text"/>
    <w:basedOn w:val="Normal"/>
    <w:rPr>
      <w:rFonts w:ascii="Courier New" w:cs="Courier New" w:hAnsi="Courier New"/>
    </w:rPr>
  </w:style>
  <w:style w:styleId="Salutation" w:type="paragraph">
    <w:name w:val="Salutation"/>
    <w:basedOn w:val="Normal"/>
    <w:next w:val="Normal"/>
  </w:style>
  <w:style w:styleId="Signature" w:type="paragraph">
    <w:name w:val="Signature"/>
    <w:basedOn w:val="Normal"/>
    <w:pPr>
      <w:ind w:left="4252"/>
    </w:pPr>
  </w:style>
  <w:style w:styleId="Strong" w:type="character">
    <w:name w:val="Strong"/>
    <w:qFormat/>
    <w:rPr>
      <w:b/>
      <w:bCs/>
    </w:rPr>
  </w:style>
  <w:style w:styleId="Subtitle" w:type="paragraph">
    <w:name w:val="Subtitle"/>
    <w:basedOn w:val="Normal"/>
    <w:qFormat/>
    <w:pPr>
      <w:spacing w:after="60"/>
      <w:jc w:val="center"/>
      <w:outlineLvl w:val="1"/>
    </w:pPr>
    <w:rPr>
      <w:rFonts w:ascii="Arial" w:cs="Arial" w:hAnsi="Arial"/>
      <w:sz w:val="24"/>
      <w:szCs w:val="24"/>
    </w:rPr>
  </w:style>
  <w:style w:styleId="TableofAuthorities" w:type="paragraph">
    <w:name w:val="table of authorities"/>
    <w:basedOn w:val="Normal"/>
    <w:next w:val="Normal"/>
    <w:semiHidden/>
    <w:pPr>
      <w:ind w:hanging="200" w:left="200"/>
    </w:pPr>
  </w:style>
  <w:style w:styleId="TableofFigures" w:type="paragraph">
    <w:name w:val="table of figures"/>
    <w:basedOn w:val="Normal"/>
    <w:next w:val="Normal"/>
    <w:semiHidden/>
    <w:pPr>
      <w:ind w:hanging="400" w:left="400"/>
    </w:pPr>
  </w:style>
  <w:style w:styleId="Title" w:type="paragraph">
    <w:name w:val="Title"/>
    <w:basedOn w:val="Normal"/>
    <w:qFormat/>
    <w:pPr>
      <w:spacing w:after="60" w:before="240"/>
      <w:jc w:val="center"/>
      <w:outlineLvl w:val="0"/>
    </w:pPr>
    <w:rPr>
      <w:rFonts w:ascii="Arial" w:cs="Arial" w:hAnsi="Arial"/>
      <w:b/>
      <w:bCs/>
      <w:kern w:val="28"/>
      <w:sz w:val="32"/>
      <w:szCs w:val="32"/>
    </w:rPr>
  </w:style>
  <w:style w:styleId="TOAHeading" w:type="paragraph">
    <w:name w:val="toa heading"/>
    <w:basedOn w:val="Normal"/>
    <w:next w:val="Normal"/>
    <w:semiHidden/>
    <w:pPr>
      <w:spacing w:before="120"/>
    </w:pPr>
    <w:rPr>
      <w:rFonts w:ascii="Arial" w:cs="Arial" w:hAnsi="Arial"/>
      <w:b/>
      <w:bCs/>
      <w:sz w:val="24"/>
      <w:szCs w:val="24"/>
    </w:rPr>
  </w:style>
  <w:style w:customStyle="1" w:styleId="TAJ" w:type="paragraph">
    <w:name w:val="TAJ"/>
    <w:basedOn w:val="Normal"/>
    <w:rsid w:val="00802AA2"/>
    <w:pPr>
      <w:keepNext/>
      <w:keepLines/>
      <w:spacing w:after="0"/>
      <w:jc w:val="both"/>
    </w:pPr>
    <w:rPr>
      <w:rFonts w:ascii="Arial" w:hAnsi="Arial"/>
      <w:sz w:val="18"/>
    </w:rPr>
  </w:style>
  <w:style w:styleId="BalloonText" w:type="paragraph">
    <w:name w:val="Balloon Text"/>
    <w:basedOn w:val="Normal"/>
    <w:link w:val="BalloonTextChar"/>
    <w:rsid w:val="00F12DD3"/>
    <w:pPr>
      <w:spacing w:after="0"/>
    </w:pPr>
    <w:rPr>
      <w:rFonts w:ascii="Tahoma" w:hAnsi="Tahoma"/>
      <w:sz w:val="16"/>
      <w:szCs w:val="16"/>
      <w:lang w:val="x-none"/>
    </w:rPr>
  </w:style>
  <w:style w:customStyle="1" w:styleId="BalloonTextChar" w:type="character">
    <w:name w:val="Balloon Text Char"/>
    <w:link w:val="BalloonText"/>
    <w:rsid w:val="00F12DD3"/>
    <w:rPr>
      <w:rFonts w:ascii="Tahoma" w:cs="Tahoma" w:hAnsi="Tahoma"/>
      <w:sz w:val="16"/>
      <w:szCs w:val="16"/>
      <w:lang w:eastAsia="en-US"/>
    </w:rPr>
  </w:style>
  <w:style w:customStyle="1" w:styleId="oneM2M-CoverTableLeft" w:type="paragraph">
    <w:name w:val="oneM2M-CoverTableLeft"/>
    <w:basedOn w:val="Normal"/>
    <w:qFormat/>
    <w:rsid w:val="00D7373D"/>
    <w:pPr>
      <w:keepNext/>
      <w:keepLines/>
      <w:overflowPunct/>
      <w:autoSpaceDE/>
      <w:autoSpaceDN/>
      <w:adjustRightInd/>
      <w:spacing w:after="60" w:before="60"/>
      <w:textAlignment w:val="auto"/>
    </w:pPr>
    <w:rPr>
      <w:rFonts w:eastAsia="BatangChe"/>
      <w:color w:val="FFFFFF"/>
      <w:sz w:val="24"/>
      <w:szCs w:val="24"/>
      <w:lang w:val="en-US"/>
    </w:rPr>
  </w:style>
  <w:style w:customStyle="1" w:styleId="oneM2M-Normal" w:type="paragraph">
    <w:name w:val="oneM2M-Normal"/>
    <w:basedOn w:val="Normal"/>
    <w:qFormat/>
    <w:rsid w:val="00D37DA4"/>
    <w:pPr>
      <w:tabs>
        <w:tab w:pos="284" w:val="left"/>
      </w:tabs>
      <w:overflowPunct/>
      <w:autoSpaceDE/>
      <w:autoSpaceDN/>
      <w:adjustRightInd/>
      <w:spacing w:after="0" w:before="120"/>
      <w:textAlignment w:val="auto"/>
    </w:pPr>
    <w:rPr>
      <w:rFonts w:eastAsia="SimSun"/>
      <w:szCs w:val="24"/>
    </w:rPr>
  </w:style>
  <w:style w:styleId="Revision" w:type="paragraph">
    <w:name w:val="Revision"/>
    <w:hidden/>
    <w:uiPriority w:val="99"/>
    <w:semiHidden/>
    <w:rsid w:val="00CB6E33"/>
    <w:rPr>
      <w:lang w:eastAsia="en-US"/>
    </w:rPr>
  </w:style>
  <w:style w:styleId="TableGrid" w:type="table">
    <w:name w:val="Table Grid"/>
    <w:basedOn w:val="TableNormal"/>
    <w:rsid w:val="00CC0490"/>
    <w:tblPr>
      <w:tblBorders>
        <w:top w:color="auto" w:space="0" w:sz="4" w:val="single"/>
        <w:left w:color="auto" w:space="0" w:sz="4" w:val="single"/>
        <w:bottom w:color="auto" w:space="0" w:sz="4" w:val="single"/>
        <w:right w:color="auto" w:space="0" w:sz="4" w:val="single"/>
        <w:insideH w:color="auto" w:space="0" w:sz="4" w:val="single"/>
        <w:insideV w:color="auto" w:space="0" w:sz="4" w:val="single"/>
      </w:tblBorders>
    </w:tblPr>
  </w:style>
  <w:style w:customStyle="1" w:styleId="TB1" w:type="paragraph">
    <w:name w:val="TB1"/>
    <w:basedOn w:val="Normal"/>
    <w:qFormat/>
    <w:rsid w:val="00802AA2"/>
    <w:pPr>
      <w:keepNext/>
      <w:keepLines/>
      <w:numPr>
        <w:numId w:val="11"/>
      </w:numPr>
      <w:tabs>
        <w:tab w:pos="720" w:val="left"/>
      </w:tabs>
      <w:spacing w:after="0"/>
      <w:ind w:hanging="380" w:left="737"/>
    </w:pPr>
    <w:rPr>
      <w:rFonts w:ascii="Arial" w:hAnsi="Arial"/>
      <w:sz w:val="18"/>
    </w:rPr>
  </w:style>
  <w:style w:customStyle="1" w:styleId="TB2" w:type="paragraph">
    <w:name w:val="TB2"/>
    <w:basedOn w:val="Normal"/>
    <w:qFormat/>
    <w:rsid w:val="00802AA2"/>
    <w:pPr>
      <w:keepNext/>
      <w:keepLines/>
      <w:numPr>
        <w:numId w:val="12"/>
      </w:numPr>
      <w:tabs>
        <w:tab w:pos="1109" w:val="left"/>
      </w:tabs>
      <w:spacing w:after="0"/>
      <w:ind w:hanging="380" w:left="1100"/>
    </w:pPr>
    <w:rPr>
      <w:rFonts w:ascii="Arial" w:hAnsi="Arial"/>
      <w:sz w:val="18"/>
    </w:rPr>
  </w:style>
  <w:style w:customStyle="1" w:styleId="B1Car" w:type="character">
    <w:name w:val="B1+ Car"/>
    <w:rsid w:val="000E1AA1"/>
    <w:rPr>
      <w:lang w:eastAsia="en-US"/>
    </w:rPr>
  </w:style>
  <w:style w:styleId="ListParagraph" w:type="paragraph">
    <w:name w:val="List Paragraph"/>
    <w:basedOn w:val="Normal"/>
    <w:uiPriority w:val="34"/>
    <w:qFormat/>
    <w:rsid w:val="00692391"/>
    <w:pPr>
      <w:ind w:left="720"/>
      <w:contextualSpacing/>
    </w:pPr>
  </w:style>
  <w:style w:styleId="UnresolvedMention" w:type="character">
    <w:name w:val="Unresolved Mention"/>
    <w:basedOn w:val="DefaultParagraphFont"/>
    <w:uiPriority w:val="99"/>
    <w:semiHidden/>
    <w:unhideWhenUsed/>
    <w:rsid w:val="0099655B"/>
    <w:rPr>
      <w:color w:val="605E5C"/>
      <w:shd w:color="auto" w:fill="E1DFDD" w:val="clear"/>
    </w:rPr>
  </w:style>
  <w:style w:customStyle="1" w:styleId="OneM2M-FrontMatter" w:type="paragraph">
    <w:name w:val="OneM2M-FrontMatter"/>
    <w:basedOn w:val="Normal"/>
    <w:rsid w:val="00B207B1"/>
    <w:pPr>
      <w:keepNext/>
      <w:keepLines/>
      <w:overflowPunct/>
      <w:autoSpaceDE/>
      <w:autoSpaceDN/>
      <w:adjustRightInd/>
      <w:spacing w:after="60" w:before="60"/>
      <w:textAlignment w:val="auto"/>
    </w:pPr>
    <w:rPr>
      <w:rFonts w:ascii="Myriad Pro" w:eastAsia="BatangChe" w:hAnsi="Myriad Pro"/>
      <w:sz w:val="22"/>
      <w:szCs w:val="24"/>
      <w:lang w:val="en-US"/>
    </w:rPr>
  </w:style>
  <w:style w:customStyle="1" w:styleId="ImageCaption" w:type="paragraph">
    <w:name w:val="Image Caption"/>
    <w:basedOn w:val="TF"/>
    <w:link w:val="ImageCaptionChar"/>
    <w:qFormat/>
    <w:rsid w:val="00BF4565"/>
  </w:style>
  <w:style w:customStyle="1" w:styleId="TableCaption" w:type="paragraph">
    <w:name w:val="Table Caption"/>
    <w:basedOn w:val="TH"/>
    <w:link w:val="TableCaptionChar"/>
    <w:qFormat/>
    <w:rsid w:val="00BF4565"/>
  </w:style>
  <w:style w:customStyle="1" w:styleId="FLChar" w:type="character">
    <w:name w:val="FL Char"/>
    <w:basedOn w:val="DefaultParagraphFont"/>
    <w:link w:val="FL"/>
    <w:rsid w:val="00BF4565"/>
    <w:rPr>
      <w:rFonts w:ascii="Arial" w:hAnsi="Arial"/>
      <w:b/>
      <w:lang w:eastAsia="en-US"/>
    </w:rPr>
  </w:style>
  <w:style w:customStyle="1" w:styleId="TFChar" w:type="character">
    <w:name w:val="TF Char"/>
    <w:basedOn w:val="FLChar"/>
    <w:link w:val="TF"/>
    <w:rsid w:val="00BF4565"/>
    <w:rPr>
      <w:rFonts w:ascii="Arial" w:hAnsi="Arial"/>
      <w:b/>
      <w:lang w:eastAsia="en-US"/>
    </w:rPr>
  </w:style>
  <w:style w:customStyle="1" w:styleId="ImageCaptionChar" w:type="character">
    <w:name w:val="Image Caption Char"/>
    <w:basedOn w:val="TFChar"/>
    <w:link w:val="ImageCaption"/>
    <w:rsid w:val="00BF4565"/>
    <w:rPr>
      <w:rFonts w:ascii="Arial" w:hAnsi="Arial"/>
      <w:b/>
      <w:lang w:eastAsia="en-US"/>
    </w:rPr>
  </w:style>
  <w:style w:customStyle="1" w:styleId="Figure" w:type="paragraph">
    <w:name w:val="Figure"/>
    <w:basedOn w:val="FL"/>
    <w:link w:val="FigureChar"/>
    <w:qFormat/>
    <w:rsid w:val="00547161"/>
    <w:pPr>
      <w:framePr w:hAnchor="text" w:vAnchor="text" w:wrap="around" w:xAlign="center" w:y="1"/>
    </w:pPr>
    <w:rPr>
      <w:noProof/>
      <w:lang w:eastAsia="en-GB"/>
    </w:rPr>
  </w:style>
  <w:style w:customStyle="1" w:styleId="THChar" w:type="character">
    <w:name w:val="TH Char"/>
    <w:basedOn w:val="FLChar"/>
    <w:link w:val="TH"/>
    <w:rsid w:val="00BF4565"/>
    <w:rPr>
      <w:rFonts w:ascii="Arial" w:hAnsi="Arial"/>
      <w:b/>
      <w:lang w:eastAsia="en-US"/>
    </w:rPr>
  </w:style>
  <w:style w:customStyle="1" w:styleId="TableCaptionChar" w:type="character">
    <w:name w:val="Table Caption Char"/>
    <w:basedOn w:val="THChar"/>
    <w:link w:val="TableCaption"/>
    <w:rsid w:val="00BF4565"/>
    <w:rPr>
      <w:rFonts w:ascii="Arial" w:hAnsi="Arial"/>
      <w:b/>
      <w:lang w:eastAsia="en-US"/>
    </w:rPr>
  </w:style>
  <w:style w:customStyle="1" w:styleId="Table" w:type="table">
    <w:name w:val="Table"/>
    <w:basedOn w:val="TableNormal"/>
    <w:uiPriority w:val="99"/>
    <w:rsid w:val="00F53001"/>
    <w:pPr>
      <w:jc w:val="center"/>
    </w:pPr>
    <w:tblPr>
      <w:jc w:val="center"/>
      <w:tblBorders>
        <w:top w:color="auto" w:space="0" w:sz="4" w:val="single"/>
        <w:left w:color="auto" w:space="0" w:sz="4" w:val="single"/>
        <w:bottom w:color="auto" w:space="0" w:sz="4" w:val="single"/>
        <w:right w:color="auto" w:space="0" w:sz="4" w:val="single"/>
        <w:insideH w:color="auto" w:space="0" w:sz="4" w:val="single"/>
        <w:insideV w:color="auto" w:space="0" w:sz="4" w:val="single"/>
      </w:tblBorders>
    </w:tblPr>
    <w:trPr>
      <w:jc w:val="center"/>
    </w:trPr>
    <w:tcPr>
      <w:vAlign w:val="center"/>
    </w:tcPr>
    <w:tblStylePr w:type="firstRow">
      <w:rPr>
        <w:rFonts w:ascii="Times New Roman" w:hAnsi="Times New Roman"/>
        <w:b/>
        <w:sz w:val="20"/>
      </w:rPr>
    </w:tblStylePr>
  </w:style>
  <w:style w:customStyle="1" w:styleId="FigureChar" w:type="character">
    <w:name w:val="Figure Char"/>
    <w:basedOn w:val="FLChar"/>
    <w:link w:val="Figure"/>
    <w:rsid w:val="00547161"/>
    <w:rPr>
      <w:rFonts w:ascii="Arial" w:hAnsi="Arial"/>
      <w:b/>
      <w:noProof/>
      <w:lang w:eastAsia="en-US"/>
    </w:rPr>
  </w:style>
  <w:style w:customStyle="1" w:styleId="TACChar" w:type="character">
    <w:name w:val="TAC Char"/>
    <w:basedOn w:val="TALChar"/>
    <w:link w:val="TAC"/>
    <w:rsid w:val="006B246A"/>
    <w:rPr>
      <w:rFonts w:ascii="Arial" w:hAnsi="Arial"/>
      <w:sz w:val="18"/>
      <w:lang w:eastAsia="en-US"/>
    </w:rPr>
  </w:style>
  <w:style w:customStyle="1" w:styleId="TAHChar" w:type="character">
    <w:name w:val="TAH Char"/>
    <w:basedOn w:val="TACChar"/>
    <w:link w:val="TAH"/>
    <w:rsid w:val="006B246A"/>
    <w:rPr>
      <w:rFonts w:ascii="Arial" w:hAnsi="Arial"/>
      <w:b/>
      <w:sz w:val="18"/>
      <w:lang w:eastAsia="en-US"/>
    </w:rPr>
  </w:style>
  <w:style w:customStyle="1" w:styleId="SourceCode" w:type="paragraph">
    <w:name w:val="Source Code"/>
    <w:basedOn w:val="Normal"/>
    <w:qFormat/>
    <w:rsid w:val="00E35718"/>
    <w:pPr>
      <w:pBdr>
        <w:top w:color="auto" w:space="1" w:sz="4" w:val="single"/>
        <w:left w:color="auto" w:space="4" w:sz="4" w:val="single"/>
        <w:bottom w:color="auto" w:space="1" w:sz="4" w:val="single"/>
        <w:right w:color="auto" w:space="4" w:sz="4" w:val="single"/>
      </w:pBdr>
      <w:shd w:color="auto" w:fill="auto" w:val="pct5"/>
      <w:wordWrap w:val="0"/>
      <w:spacing w:before="180"/>
    </w:pPr>
    <w:rPr>
      <w:rFonts w:ascii="Courier New" w:hAnsi="Courier New"/>
      <w:color w:themeColor="background1" w:themeShade="A6" w:val="A6A6A6"/>
    </w:rPr>
  </w:style>
  <w:style w:type="character" w:customStyle="1" w:styleId="KeywordTok">
    <w:name w:val="KeywordTok"/>
    <w:basedOn w:val="VerbatimChar"/>
    <w:rPr>
      <w:b/>
      <w:color w:val="007020"/>
    </w:rPr>
  </w:style>
  <w:style w:type="character" w:customStyle="1" w:styleId="DataTypeTok">
    <w:name w:val="DataTypeTok"/>
    <w:basedOn w:val="VerbatimChar"/>
    <w:rPr>
      <w:color w:val="902000"/>
    </w:rPr>
  </w:style>
  <w:style w:type="character" w:customStyle="1" w:styleId="DecValTok">
    <w:name w:val="DecValTok"/>
    <w:basedOn w:val="VerbatimChar"/>
    <w:rPr>
      <w:color w:val="40a070"/>
    </w:rPr>
  </w:style>
  <w:style w:type="character" w:customStyle="1" w:styleId="BaseNTok">
    <w:name w:val="BaseNTok"/>
    <w:basedOn w:val="VerbatimChar"/>
    <w:rPr>
      <w:color w:val="40a070"/>
    </w:rPr>
  </w:style>
  <w:style w:type="character" w:customStyle="1" w:styleId="FloatTok">
    <w:name w:val="FloatTok"/>
    <w:basedOn w:val="VerbatimChar"/>
    <w:rPr>
      <w:color w:val="40a070"/>
    </w:rPr>
  </w:style>
  <w:style w:type="character" w:customStyle="1" w:styleId="ConstantTok">
    <w:name w:val="ConstantTok"/>
    <w:basedOn w:val="VerbatimChar"/>
    <w:rPr>
      <w:color w:val="880000"/>
    </w:rPr>
  </w:style>
  <w:style w:type="character" w:customStyle="1" w:styleId="CharTok">
    <w:name w:val="CharTok"/>
    <w:basedOn w:val="VerbatimChar"/>
    <w:rPr>
      <w:color w:val="4070a0"/>
    </w:rPr>
  </w:style>
  <w:style w:type="character" w:customStyle="1" w:styleId="SpecialCharTok">
    <w:name w:val="SpecialCharTok"/>
    <w:basedOn w:val="VerbatimChar"/>
    <w:rPr>
      <w:color w:val="4070a0"/>
    </w:rPr>
  </w:style>
  <w:style w:type="character" w:customStyle="1" w:styleId="StringTok">
    <w:name w:val="StringTok"/>
    <w:basedOn w:val="VerbatimChar"/>
    <w:rPr>
      <w:color w:val="4070a0"/>
    </w:rPr>
  </w:style>
  <w:style w:type="character" w:customStyle="1" w:styleId="VerbatimStringTok">
    <w:name w:val="VerbatimStringTok"/>
    <w:basedOn w:val="VerbatimChar"/>
    <w:rPr>
      <w:color w:val="4070a0"/>
    </w:rPr>
  </w:style>
  <w:style w:type="character" w:customStyle="1" w:styleId="SpecialStringTok">
    <w:name w:val="SpecialStringTok"/>
    <w:basedOn w:val="VerbatimChar"/>
    <w:rPr>
      <w:color w:val="bb6688"/>
    </w:rPr>
  </w:style>
  <w:style w:type="character" w:customStyle="1" w:styleId="ImportTok">
    <w:name w:val="ImportTok"/>
    <w:basedOn w:val="VerbatimChar"/>
    <w:rPr>
      <w:b/>
      <w:color w:val="008000"/>
    </w:rPr>
  </w:style>
  <w:style w:type="character" w:customStyle="1" w:styleId="CommentTok">
    <w:name w:val="CommentTok"/>
    <w:basedOn w:val="VerbatimChar"/>
    <w:rPr>
      <w:i/>
      <w:color w:val="60a0b0"/>
    </w:rPr>
  </w:style>
  <w:style w:type="character" w:customStyle="1" w:styleId="DocumentationTok">
    <w:name w:val="DocumentationTok"/>
    <w:basedOn w:val="VerbatimChar"/>
    <w:rPr>
      <w:i/>
      <w:color w:val="ba2121"/>
    </w:rPr>
  </w:style>
  <w:style w:type="character" w:customStyle="1" w:styleId="AnnotationTok">
    <w:name w:val="AnnotationTok"/>
    <w:basedOn w:val="VerbatimChar"/>
    <w:rPr>
      <w:b/>
      <w:i/>
      <w:color w:val="60a0b0"/>
    </w:rPr>
  </w:style>
  <w:style w:type="character" w:customStyle="1" w:styleId="CommentVarTok">
    <w:name w:val="CommentVarTok"/>
    <w:basedOn w:val="VerbatimChar"/>
    <w:rPr>
      <w:b/>
      <w:i/>
      <w:color w:val="60a0b0"/>
    </w:rPr>
  </w:style>
  <w:style w:type="character" w:customStyle="1" w:styleId="OtherTok">
    <w:name w:val="OtherTok"/>
    <w:basedOn w:val="VerbatimChar"/>
    <w:rPr>
      <w:color w:val="007020"/>
    </w:rPr>
  </w:style>
  <w:style w:type="character" w:customStyle="1" w:styleId="FunctionTok">
    <w:name w:val="FunctionTok"/>
    <w:basedOn w:val="VerbatimChar"/>
    <w:rPr>
      <w:color w:val="06287e"/>
    </w:rPr>
  </w:style>
  <w:style w:type="character" w:customStyle="1" w:styleId="VariableTok">
    <w:name w:val="VariableTok"/>
    <w:basedOn w:val="VerbatimChar"/>
    <w:rPr>
      <w:color w:val="19177c"/>
    </w:rPr>
  </w:style>
  <w:style w:type="character" w:customStyle="1" w:styleId="ControlFlowTok">
    <w:name w:val="ControlFlowTok"/>
    <w:basedOn w:val="VerbatimChar"/>
    <w:rPr>
      <w:b/>
      <w:color w:val="007020"/>
    </w:rPr>
  </w:style>
  <w:style w:type="character" w:customStyle="1" w:styleId="OperatorTok">
    <w:name w:val="OperatorTok"/>
    <w:basedOn w:val="VerbatimChar"/>
    <w:rPr>
      <w:color w:val="666666"/>
    </w:rPr>
  </w:style>
  <w:style w:type="character" w:customStyle="1" w:styleId="BuiltInTok">
    <w:name w:val="BuiltInTok"/>
    <w:basedOn w:val="VerbatimChar"/>
    <w:rPr>
      <w:color w:val="008000"/>
    </w:rPr>
  </w:style>
  <w:style w:type="character" w:customStyle="1" w:styleId="ExtensionTok">
    <w:name w:val="ExtensionTok"/>
    <w:basedOn w:val="VerbatimChar"/>
    <w:rPr/>
  </w:style>
  <w:style w:type="character" w:customStyle="1" w:styleId="PreprocessorTok">
    <w:name w:val="PreprocessorTok"/>
    <w:basedOn w:val="VerbatimChar"/>
    <w:rPr>
      <w:color w:val="bc7a00"/>
    </w:rPr>
  </w:style>
  <w:style w:type="character" w:customStyle="1" w:styleId="AttributeTok">
    <w:name w:val="AttributeTok"/>
    <w:basedOn w:val="VerbatimChar"/>
    <w:rPr>
      <w:color w:val="7d9029"/>
    </w:rPr>
  </w:style>
  <w:style w:type="character" w:customStyle="1" w:styleId="RegionMarkerTok">
    <w:name w:val="RegionMarkerTok"/>
    <w:basedOn w:val="VerbatimChar"/>
    <w:rPr/>
  </w:style>
  <w:style w:type="character" w:customStyle="1" w:styleId="InformationTok">
    <w:name w:val="InformationTok"/>
    <w:basedOn w:val="VerbatimChar"/>
    <w:rPr>
      <w:b/>
      <w:i/>
      <w:color w:val="60a0b0"/>
    </w:rPr>
  </w:style>
  <w:style w:type="character" w:customStyle="1" w:styleId="WarningTok">
    <w:name w:val="WarningTok"/>
    <w:basedOn w:val="VerbatimChar"/>
    <w:rPr>
      <w:b/>
      <w:i/>
      <w:color w:val="60a0b0"/>
    </w:rPr>
  </w:style>
  <w:style w:type="character" w:customStyle="1" w:styleId="AlertTok">
    <w:name w:val="AlertTok"/>
    <w:basedOn w:val="VerbatimChar"/>
    <w:rPr>
      <w:b/>
      <w:color w:val="ff0000"/>
    </w:rPr>
  </w:style>
  <w:style w:type="character" w:customStyle="1" w:styleId="ErrorTok">
    <w:name w:val="ErrorTok"/>
    <w:basedOn w:val="VerbatimChar"/>
    <w:rPr>
      <w:b/>
      <w:color w:val="ff0000"/>
    </w:rPr>
  </w:style>
  <w:style w:type="character" w:customStyle="1" w:styleId="NormalTok">
    <w:name w:val="NormalTok"/>
    <w:basedOn w:val="VerbatimChar"/>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ivs>
    <w:div w:id="426077366">
      <w:bodyDiv w:val="1"/>
      <w:marLeft w:val="0"/>
      <w:marRight w:val="0"/>
      <w:marTop w:val="0"/>
      <w:marBottom w:val="0"/>
      <w:divBdr>
        <w:top w:val="none" w:sz="0" w:space="0" w:color="auto"/>
        <w:left w:val="none" w:sz="0" w:space="0" w:color="auto"/>
        <w:bottom w:val="none" w:sz="0" w:space="0" w:color="auto"/>
        <w:right w:val="none" w:sz="0" w:space="0" w:color="auto"/>
      </w:divBdr>
    </w:div>
    <w:div w:id="511262986">
      <w:bodyDiv w:val="1"/>
      <w:marLeft w:val="0"/>
      <w:marRight w:val="0"/>
      <w:marTop w:val="0"/>
      <w:marBottom w:val="0"/>
      <w:divBdr>
        <w:top w:val="none" w:sz="0" w:space="0" w:color="auto"/>
        <w:left w:val="none" w:sz="0" w:space="0" w:color="auto"/>
        <w:bottom w:val="none" w:sz="0" w:space="0" w:color="auto"/>
        <w:right w:val="none" w:sz="0" w:space="0" w:color="auto"/>
      </w:divBdr>
    </w:div>
    <w:div w:id="704066464">
      <w:bodyDiv w:val="1"/>
      <w:marLeft w:val="0"/>
      <w:marRight w:val="0"/>
      <w:marTop w:val="0"/>
      <w:marBottom w:val="0"/>
      <w:divBdr>
        <w:top w:val="none" w:sz="0" w:space="0" w:color="auto"/>
        <w:left w:val="none" w:sz="0" w:space="0" w:color="auto"/>
        <w:bottom w:val="none" w:sz="0" w:space="0" w:color="auto"/>
        <w:right w:val="none" w:sz="0" w:space="0" w:color="auto"/>
      </w:divBdr>
    </w:div>
    <w:div w:id="1151092999">
      <w:bodyDiv w:val="1"/>
      <w:marLeft w:val="0"/>
      <w:marRight w:val="0"/>
      <w:marTop w:val="0"/>
      <w:marBottom w:val="0"/>
      <w:divBdr>
        <w:top w:val="none" w:sz="0" w:space="0" w:color="auto"/>
        <w:left w:val="none" w:sz="0" w:space="0" w:color="auto"/>
        <w:bottom w:val="none" w:sz="0" w:space="0" w:color="auto"/>
        <w:right w:val="none" w:sz="0" w:space="0" w:color="auto"/>
      </w:divBdr>
    </w:div>
    <w:div w:id="1170833381">
      <w:bodyDiv w:val="1"/>
      <w:marLeft w:val="0"/>
      <w:marRight w:val="0"/>
      <w:marTop w:val="0"/>
      <w:marBottom w:val="0"/>
      <w:divBdr>
        <w:top w:val="none" w:sz="0" w:space="0" w:color="auto"/>
        <w:left w:val="none" w:sz="0" w:space="0" w:color="auto"/>
        <w:bottom w:val="none" w:sz="0" w:space="0" w:color="auto"/>
        <w:right w:val="none" w:sz="0" w:space="0" w:color="auto"/>
      </w:divBdr>
    </w:div>
    <w:div w:id="1201822242">
      <w:bodyDiv w:val="1"/>
      <w:marLeft w:val="0"/>
      <w:marRight w:val="0"/>
      <w:marTop w:val="0"/>
      <w:marBottom w:val="0"/>
      <w:divBdr>
        <w:top w:val="none" w:sz="0" w:space="0" w:color="auto"/>
        <w:left w:val="none" w:sz="0" w:space="0" w:color="auto"/>
        <w:bottom w:val="none" w:sz="0" w:space="0" w:color="auto"/>
        <w:right w:val="none" w:sz="0" w:space="0" w:color="auto"/>
      </w:divBdr>
    </w:div>
    <w:div w:id="1306937124">
      <w:bodyDiv w:val="1"/>
      <w:marLeft w:val="0"/>
      <w:marRight w:val="0"/>
      <w:marTop w:val="0"/>
      <w:marBottom w:val="0"/>
      <w:divBdr>
        <w:top w:val="none" w:sz="0" w:space="0" w:color="auto"/>
        <w:left w:val="none" w:sz="0" w:space="0" w:color="auto"/>
        <w:bottom w:val="none" w:sz="0" w:space="0" w:color="auto"/>
        <w:right w:val="none" w:sz="0" w:space="0" w:color="auto"/>
      </w:divBdr>
    </w:div>
    <w:div w:id="1577014414">
      <w:bodyDiv w:val="1"/>
      <w:marLeft w:val="0"/>
      <w:marRight w:val="0"/>
      <w:marTop w:val="0"/>
      <w:marBottom w:val="0"/>
      <w:divBdr>
        <w:top w:val="none" w:sz="0" w:space="0" w:color="auto"/>
        <w:left w:val="none" w:sz="0" w:space="0" w:color="auto"/>
        <w:bottom w:val="none" w:sz="0" w:space="0" w:color="auto"/>
        <w:right w:val="none" w:sz="0" w:space="0" w:color="auto"/>
      </w:divBdr>
    </w:div>
    <w:div w:id="1997416618">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webSettings>
</file>

<file path=word/_rels/document.xml.rels><?xml version="1.0" encoding="UTF-8"?><Relationships xmlns="http://schemas.openxmlformats.org/package/2006/relationships"><Relationship Type="http://schemas.openxmlformats.org/officeDocument/2006/relationships/numbering" Id="rId1" Target="numbering.xml" /><Relationship Type="http://schemas.openxmlformats.org/officeDocument/2006/relationships/styles" Id="rId2" Target="styles.xml" /><Relationship Type="http://schemas.openxmlformats.org/officeDocument/2006/relationships/settings" Id="rId3" Target="settings.xml" /><Relationship Type="http://schemas.openxmlformats.org/officeDocument/2006/relationships/webSettings" Id="rId4" Target="webSettings.xml" /><Relationship Type="http://schemas.openxmlformats.org/officeDocument/2006/relationships/fontTable" Id="rId5" Target="fontTable.xml" /><Relationship Type="http://schemas.openxmlformats.org/officeDocument/2006/relationships/theme" Id="rId6" Target="theme/theme1.xml" /><Relationship Type="http://schemas.openxmlformats.org/officeDocument/2006/relationships/footnotes" Id="rId7" Target="footnotes.xml" /><Relationship Type="http://schemas.openxmlformats.org/officeDocument/2006/relationships/comments" Id="rId8" Target="comments.xml" /><Relationship Id="rId9" Target="header1.xml" Type="http://schemas.openxmlformats.org/officeDocument/2006/relationships/header" /><Relationship Id="rId10" Target="footer1.xml" Type="http://schemas.openxmlformats.org/officeDocument/2006/relationships/footer" /><Relationship Id="rId11" Target="footer2.xml" Type="http://schemas.openxmlformats.org/officeDocument/2006/relationships/footer" /><Relationship Type="http://schemas.openxmlformats.org/officeDocument/2006/relationships/image" Id="rId33" Target="media/rId33.png" /><Relationship Type="http://schemas.openxmlformats.org/officeDocument/2006/relationships/image" Id="rId40" Target="media/rId40.png" /><Relationship Type="http://schemas.openxmlformats.org/officeDocument/2006/relationships/image" Id="rId48" Target="media/rId48.png" /><Relationship Type="http://schemas.openxmlformats.org/officeDocument/2006/relationships/image" Id="rId51" Target="media/rId51.png" /><Relationship Type="http://schemas.openxmlformats.org/officeDocument/2006/relationships/image" Id="rId55" Target="media/rId55.png" /><Relationship Type="http://schemas.openxmlformats.org/officeDocument/2006/relationships/image" Id="rId79" Target="media/rId79.png" /><Relationship Type="http://schemas.openxmlformats.org/officeDocument/2006/relationships/image" Id="rId83" Target="media/rId83.png" /><Relationship Type="http://schemas.openxmlformats.org/officeDocument/2006/relationships/image" Id="rId60" Target="media/rId60.png" /><Relationship Type="http://schemas.openxmlformats.org/officeDocument/2006/relationships/image" Id="rId64" Target="media/rId64.png" /><Relationship Type="http://schemas.openxmlformats.org/officeDocument/2006/relationships/image" Id="rId69" Target="media/rId69.png" /><Relationship Type="http://schemas.openxmlformats.org/officeDocument/2006/relationships/image" Id="rId73" Target="media/rId73.png" /><Relationship Type="http://schemas.openxmlformats.org/officeDocument/2006/relationships/image" Id="rId76" Target="media/rId76.png" /><Relationship Type="http://schemas.openxmlformats.org/officeDocument/2006/relationships/image" Id="rId44" Target="media/rId44.png" /><Relationship Type="http://schemas.openxmlformats.org/officeDocument/2006/relationships/image" Id="rId36" Target="media/rId36.jpg" /><Relationship Type="http://schemas.openxmlformats.org/officeDocument/2006/relationships/image" Id="rId20" Target="media/rId20.png" /></Relationships>
</file>

<file path=word/_rels/footnotes.xml.rels><?xml version="1.0" encoding="UTF-8"?><Relationships xmlns="http://schemas.openxmlformats.org/package/2006/relationships" />
</file>

<file path=word/_rels/settings.xml.rels><?xml version="1.0" encoding="UTF-8" standalone="yes"?>
<Relationships xmlns="http://schemas.openxmlformats.org/package/2006/relationships"><Relationship Id="rId1" Type="http://schemas.openxmlformats.org/officeDocument/2006/relationships/attachedTemplate" Target="file:///C:\ETSI\Templates\ETSI%20'new'%20deliverables\ETSIW_2013.dotm" TargetMode="Externa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panose="020F0302020204030204"/>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ETSIW_2013.dotm</Template>
  <TotalTime>376</TotalTime>
  <Pages>35</Pages>
  <Words>6740</Words>
  <Characters>38422</Characters>
  <Application>Microsoft Office Word</Application>
  <DocSecurity>0</DocSecurity>
  <Lines>320</Lines>
  <Paragraphs>90</Paragraphs>
  <ScaleCrop>false</ScaleCrop>
  <HeadingPairs>
    <vt:vector size="2" baseType="variant">
      <vt:variant>
        <vt:lpstr>Title</vt:lpstr>
      </vt:variant>
      <vt:variant>
        <vt:i4>1</vt:i4>
      </vt:variant>
    </vt:vector>
  </HeadingPairs>
  <TitlesOfParts>
    <vt:vector size="1" baseType="lpstr">
      <vt:lpstr>Abstract Test Suite and Implementation eXtra Information for Test</vt:lpstr>
    </vt:vector>
  </TitlesOfParts>
  <Company>ETS Sophia Antipolis</Company>
  <LinksUpToDate>false</LinksUpToDate>
  <CharactersWithSpaces>45072</CharactersWithSpaces>
  <SharedDoc>false</SharedDoc>
  <HLinks>
    <vt:vector size="30" baseType="variant">
      <vt:variant>
        <vt:i4>4128773</vt:i4>
      </vt:variant>
      <vt:variant>
        <vt:i4>282</vt:i4>
      </vt:variant>
      <vt:variant>
        <vt:i4>0</vt:i4>
      </vt:variant>
      <vt:variant>
        <vt:i4>5</vt:i4>
      </vt:variant>
      <vt:variant>
        <vt:lpwstr>mailto:edithelp@etsi.org</vt:lpwstr>
      </vt:variant>
      <vt:variant>
        <vt:lpwstr/>
      </vt:variant>
      <vt:variant>
        <vt:i4>6750312</vt:i4>
      </vt:variant>
      <vt:variant>
        <vt:i4>279</vt:i4>
      </vt:variant>
      <vt:variant>
        <vt:i4>0</vt:i4>
      </vt:variant>
      <vt:variant>
        <vt:i4>5</vt:i4>
      </vt:variant>
      <vt:variant>
        <vt:lpwstr>http://git.onem2m.org:8080/TST/ATS.git</vt:lpwstr>
      </vt:variant>
      <vt:variant>
        <vt:lpwstr/>
      </vt:variant>
      <vt:variant>
        <vt:i4>4128790</vt:i4>
      </vt:variant>
      <vt:variant>
        <vt:i4>276</vt:i4>
      </vt:variant>
      <vt:variant>
        <vt:i4>0</vt:i4>
      </vt:variant>
      <vt:variant>
        <vt:i4>5</vt:i4>
      </vt:variant>
      <vt:variant>
        <vt:lpwstr>https://git.onem2m.org/TST/ATS/tags/TST-2018-0021-TS-0019_TTCN-3_Test_cases</vt:lpwstr>
      </vt:variant>
      <vt:variant>
        <vt:lpwstr/>
      </vt:variant>
      <vt:variant>
        <vt:i4>6815754</vt:i4>
      </vt:variant>
      <vt:variant>
        <vt:i4>177</vt:i4>
      </vt:variant>
      <vt:variant>
        <vt:i4>0</vt:i4>
      </vt:variant>
      <vt:variant>
        <vt:i4>5</vt:i4>
      </vt:variant>
      <vt:variant>
        <vt:lpwstr>http://member.onem2m.org/Static_pages/Others/Rules_Pages/oneM2M-Drafting-Rules-V1_0.doc</vt:lpwstr>
      </vt:variant>
      <vt:variant>
        <vt:lpwstr/>
      </vt:variant>
      <vt:variant>
        <vt:i4>5636118</vt:i4>
      </vt:variant>
      <vt:variant>
        <vt:i4>0</vt:i4>
      </vt:variant>
      <vt:variant>
        <vt:i4>0</vt:i4>
      </vt:variant>
      <vt:variant>
        <vt:i4>5</vt:i4>
      </vt:variant>
      <vt:variant>
        <vt:lpwstr>https://portal.etsi.org/Portals/0/TBpages/edithelp/Docs/ETSI manual of signs (trademarks).pdf</vt:lpwstr>
      </vt:variant>
      <vt:variant>
        <vt:lpwstr/>
      </vt:variant>
    </vt:vector>
  </HLinks>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creator/>
  <cp:keywords/>
  <dcterms:created xsi:type="dcterms:W3CDTF">2025-04-28T13:00:26Z</dcterms:created>
  <dcterms:modified xsi:type="dcterms:W3CDTF">2025-04-28T13:00:26Z</dcterms:modified>
</cp:coreProperties>
</file>

<file path=docProps/custom.xml><?xml version="1.0" encoding="utf-8"?>
<Properties xmlns="http://schemas.openxmlformats.org/officeDocument/2006/custom-properties" xmlns:vt="http://schemas.openxmlformats.org/officeDocument/2006/docPropsVTypes"/>
</file>